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51" w:rsidRDefault="00944C51" w:rsidP="00341E6B">
      <w:pPr>
        <w:pStyle w:val="Heading2"/>
      </w:pPr>
      <w:r>
        <w:t>Month-by-Month Emails</w:t>
      </w:r>
    </w:p>
    <w:p w:rsidR="007A17C3" w:rsidRPr="00944C51" w:rsidRDefault="007A17C3" w:rsidP="00944C51">
      <w:pPr>
        <w:pStyle w:val="Heading2"/>
        <w:rPr>
          <w:i/>
          <w:color w:val="000000" w:themeColor="text1"/>
          <w:sz w:val="26"/>
        </w:rPr>
      </w:pPr>
      <w:r w:rsidRPr="00944C51">
        <w:rPr>
          <w:i/>
          <w:color w:val="000000" w:themeColor="text1"/>
          <w:sz w:val="26"/>
        </w:rPr>
        <w:t>Text for emails, letters, memos to employees</w:t>
      </w:r>
    </w:p>
    <w:p w:rsidR="005707A9" w:rsidRPr="00717BA2" w:rsidRDefault="005707A9" w:rsidP="00A9030A">
      <w:pPr>
        <w:pStyle w:val="Heading4"/>
      </w:pPr>
      <w:bookmarkStart w:id="0" w:name="_Email_1:_Save/save"/>
      <w:bookmarkEnd w:id="0"/>
      <w:r w:rsidRPr="00717BA2">
        <w:t>Email 1</w:t>
      </w:r>
      <w:r>
        <w:t>:</w:t>
      </w:r>
      <w:r w:rsidRPr="00717BA2">
        <w:t xml:space="preserve"> Medical Plan Basics</w:t>
      </w:r>
    </w:p>
    <w:p w:rsidR="005707A9" w:rsidRPr="00486831" w:rsidRDefault="005707A9" w:rsidP="005707A9">
      <w:pPr>
        <w:rPr>
          <w:b/>
        </w:rPr>
      </w:pPr>
      <w:r>
        <w:rPr>
          <w:b/>
        </w:rPr>
        <w:t>Subject line:</w:t>
      </w:r>
      <w:r>
        <w:rPr>
          <w:b/>
        </w:rPr>
        <w:tab/>
        <w:t>Medical Plan Basics</w:t>
      </w:r>
    </w:p>
    <w:p w:rsidR="00A9030A" w:rsidRDefault="00A9030A" w:rsidP="00AF5471">
      <w:pPr>
        <w:pStyle w:val="BodyText"/>
      </w:pPr>
      <w:r>
        <w:t xml:space="preserve">Your medical coverage through </w:t>
      </w:r>
      <w:r w:rsidR="005707A9">
        <w:t xml:space="preserve">the Board of Pensions of the Presbyterian Church (U.S.A.) </w:t>
      </w:r>
      <w:r>
        <w:t>provides important and valuable benefits.</w:t>
      </w:r>
    </w:p>
    <w:p w:rsidR="005707A9" w:rsidRDefault="005707A9" w:rsidP="00AF5471">
      <w:pPr>
        <w:pStyle w:val="BodyText"/>
      </w:pPr>
      <w:r>
        <w:t xml:space="preserve">If you have questions about how the Medical Plan works, visit </w:t>
      </w:r>
      <w:hyperlink r:id="rId8" w:history="1">
        <w:r w:rsidRPr="007E5EC0">
          <w:rPr>
            <w:rStyle w:val="Hyperlink"/>
          </w:rPr>
          <w:t>pensions.org</w:t>
        </w:r>
      </w:hyperlink>
      <w:r>
        <w:t xml:space="preserve"> at the links below:</w:t>
      </w:r>
    </w:p>
    <w:p w:rsidR="005707A9" w:rsidRPr="00A9030A" w:rsidRDefault="00225F86" w:rsidP="005707A9">
      <w:pPr>
        <w:pStyle w:val="ListBullet"/>
        <w:spacing w:before="0" w:after="160" w:line="259" w:lineRule="auto"/>
        <w:rPr>
          <w:rStyle w:val="Hyperlink"/>
          <w:color w:val="auto"/>
          <w:u w:val="none"/>
        </w:rPr>
      </w:pPr>
      <w:hyperlink r:id="rId9" w:history="1">
        <w:r w:rsidR="005707A9" w:rsidRPr="007E5EC0">
          <w:rPr>
            <w:rStyle w:val="Hyperlink"/>
          </w:rPr>
          <w:t>PPO: deductibles, copays, copayments, and out-of-pocket maximums</w:t>
        </w:r>
      </w:hyperlink>
    </w:p>
    <w:p w:rsidR="00A9030A" w:rsidRDefault="00A9030A" w:rsidP="005707A9">
      <w:pPr>
        <w:pStyle w:val="ListBullet"/>
        <w:spacing w:before="0" w:after="160" w:line="259" w:lineRule="auto"/>
      </w:pPr>
      <w:r>
        <w:rPr>
          <w:rStyle w:val="Hyperlink"/>
        </w:rPr>
        <w:t>EPO: deductibles, copays, copayments, and out-of-pocket maximums</w:t>
      </w:r>
    </w:p>
    <w:p w:rsidR="005707A9" w:rsidRDefault="00225F86" w:rsidP="005707A9">
      <w:pPr>
        <w:pStyle w:val="ListBullet"/>
        <w:spacing w:before="0" w:after="160" w:line="259" w:lineRule="auto"/>
      </w:pPr>
      <w:hyperlink r:id="rId10" w:history="1">
        <w:r w:rsidR="005707A9" w:rsidRPr="00A9030A">
          <w:rPr>
            <w:rStyle w:val="Hyperlink"/>
          </w:rPr>
          <w:t>HDHP: deductibles, copays, copayments, and out-of-pocket maximums</w:t>
        </w:r>
      </w:hyperlink>
    </w:p>
    <w:p w:rsidR="005707A9" w:rsidRDefault="00225F86" w:rsidP="005707A9">
      <w:pPr>
        <w:pStyle w:val="ListBullet"/>
        <w:spacing w:before="0" w:after="160" w:line="259" w:lineRule="auto"/>
      </w:pPr>
      <w:hyperlink r:id="rId11" w:history="1">
        <w:r w:rsidR="005707A9" w:rsidRPr="007E5EC0">
          <w:rPr>
            <w:rStyle w:val="Hyperlink"/>
          </w:rPr>
          <w:t>Health savings account</w:t>
        </w:r>
      </w:hyperlink>
      <w:r w:rsidR="005707A9">
        <w:t xml:space="preserve"> (Available with HDHP only)</w:t>
      </w:r>
    </w:p>
    <w:p w:rsidR="005707A9" w:rsidRDefault="005707A9" w:rsidP="005707A9">
      <w:pPr>
        <w:pStyle w:val="BodyText"/>
      </w:pPr>
      <w:r>
        <w:t xml:space="preserve">You can find additional Medical Plan details in the </w:t>
      </w:r>
      <w:hyperlink r:id="rId12" w:history="1">
        <w:r w:rsidRPr="0062345A">
          <w:rPr>
            <w:rStyle w:val="Hyperlink"/>
          </w:rPr>
          <w:t>Guide to Your Healthcare Benefits</w:t>
        </w:r>
      </w:hyperlink>
      <w:r>
        <w:t>.</w:t>
      </w:r>
    </w:p>
    <w:p w:rsidR="00FD34DC" w:rsidRDefault="00FD34DC" w:rsidP="00945E5B">
      <w:pPr>
        <w:pStyle w:val="BodyText"/>
      </w:pPr>
    </w:p>
    <w:p w:rsidR="00673482" w:rsidRDefault="00673482">
      <w:pPr>
        <w:rPr>
          <w:rFonts w:cs="Times New Roman"/>
          <w:color w:val="003276"/>
          <w:sz w:val="26"/>
          <w:szCs w:val="24"/>
        </w:rPr>
      </w:pPr>
      <w:bookmarkStart w:id="1" w:name="_Email_2:_Importance"/>
      <w:bookmarkEnd w:id="1"/>
      <w:r>
        <w:br w:type="page"/>
      </w:r>
    </w:p>
    <w:p w:rsidR="00D8271B" w:rsidRDefault="00D8271B" w:rsidP="00D8271B">
      <w:pPr>
        <w:pStyle w:val="Heading4"/>
      </w:pPr>
      <w:bookmarkStart w:id="2" w:name="_Email_2:_Importance_1"/>
      <w:bookmarkStart w:id="3" w:name="_Email_2:_Power"/>
      <w:bookmarkEnd w:id="2"/>
      <w:bookmarkEnd w:id="3"/>
      <w:r>
        <w:lastRenderedPageBreak/>
        <w:t>Email 2: Power of small amounts</w:t>
      </w:r>
    </w:p>
    <w:p w:rsidR="00D8271B" w:rsidRPr="00486831" w:rsidRDefault="00D8271B" w:rsidP="00D8271B">
      <w:pPr>
        <w:pStyle w:val="Heading5"/>
      </w:pPr>
      <w:r>
        <w:t>Subject line:</w:t>
      </w:r>
      <w:r>
        <w:tab/>
        <w:t>Start saving (more) during America Saves Week</w:t>
      </w:r>
    </w:p>
    <w:p w:rsidR="00D8271B" w:rsidRDefault="00225F86" w:rsidP="00D8271B">
      <w:pPr>
        <w:pStyle w:val="BodyText"/>
      </w:pPr>
      <w:hyperlink r:id="rId13" w:history="1">
        <w:r w:rsidR="00D8271B" w:rsidRPr="00E70B1E">
          <w:rPr>
            <w:rStyle w:val="Hyperlink"/>
          </w:rPr>
          <w:t>America Saves Week</w:t>
        </w:r>
      </w:hyperlink>
      <w:r w:rsidR="00D8271B" w:rsidRPr="007D4DDF">
        <w:t xml:space="preserve">, a national celebration that encourages employees to save more, is the perfect time to take a step in the right direction. Take a few moments during America Saves Week, </w:t>
      </w:r>
      <w:r w:rsidR="00D8271B">
        <w:t>February 24 – 29, 2020</w:t>
      </w:r>
      <w:r w:rsidR="00D8271B" w:rsidRPr="007D4DDF">
        <w:t>, to check your savings status and investment strategy.</w:t>
      </w:r>
    </w:p>
    <w:p w:rsidR="00D8271B" w:rsidRDefault="00D8271B" w:rsidP="00D8271B">
      <w:pPr>
        <w:pStyle w:val="BodyText"/>
      </w:pPr>
      <w:r>
        <w:t>If you are looking for a convenient way to start saving for retirement, or if you just need a refresher, consider these features available when you save in the Retirement Savings Plan:</w:t>
      </w:r>
    </w:p>
    <w:p w:rsidR="00D8271B" w:rsidRPr="00C334F7" w:rsidRDefault="00D8271B" w:rsidP="00D8271B">
      <w:pPr>
        <w:pStyle w:val="ListBullet"/>
      </w:pPr>
      <w:r w:rsidRPr="00C334F7">
        <w:t>pretax and Roth after-tax savings;</w:t>
      </w:r>
    </w:p>
    <w:p w:rsidR="00D8271B" w:rsidRPr="00C334F7" w:rsidRDefault="00D8271B" w:rsidP="00D8271B">
      <w:pPr>
        <w:pStyle w:val="ListBullet"/>
      </w:pPr>
      <w:r w:rsidRPr="00C334F7">
        <w:t>low fees;</w:t>
      </w:r>
    </w:p>
    <w:p w:rsidR="00D8271B" w:rsidRPr="00C334F7" w:rsidRDefault="00D8271B" w:rsidP="00D8271B">
      <w:pPr>
        <w:pStyle w:val="ListBullet"/>
      </w:pPr>
      <w:r w:rsidRPr="00C334F7">
        <w:t>a wide range of investment options;</w:t>
      </w:r>
    </w:p>
    <w:p w:rsidR="00D8271B" w:rsidRPr="00C334F7" w:rsidRDefault="00D8271B" w:rsidP="00D8271B">
      <w:pPr>
        <w:pStyle w:val="ListBullet"/>
      </w:pPr>
      <w:r w:rsidRPr="00C334F7">
        <w:t>planning tools and resources; and</w:t>
      </w:r>
    </w:p>
    <w:p w:rsidR="00D8271B" w:rsidRPr="00C334F7" w:rsidRDefault="00D8271B" w:rsidP="00D8271B">
      <w:pPr>
        <w:pStyle w:val="ListBullet"/>
      </w:pPr>
      <w:r w:rsidRPr="00C334F7">
        <w:t xml:space="preserve">secure account access. </w:t>
      </w:r>
    </w:p>
    <w:p w:rsidR="00D8271B" w:rsidRDefault="00D8271B" w:rsidP="00D8271B">
      <w:pPr>
        <w:pStyle w:val="BodyText"/>
      </w:pPr>
      <w:r>
        <w:t xml:space="preserve">To learn how saving just a small amount can make a difference in your future financial security, check out these resources from Fidelity Investments, the Retirement Savings Plan record keeper. </w:t>
      </w:r>
    </w:p>
    <w:p w:rsidR="00D8271B" w:rsidRPr="000616E9" w:rsidRDefault="00225F86" w:rsidP="00D8271B">
      <w:pPr>
        <w:pStyle w:val="ListBullet"/>
      </w:pPr>
      <w:hyperlink r:id="rId14" w:history="1">
        <w:r w:rsidR="00D8271B" w:rsidRPr="000616E9">
          <w:rPr>
            <w:rStyle w:val="Hyperlink"/>
          </w:rPr>
          <w:t>Power of small amounts</w:t>
        </w:r>
      </w:hyperlink>
      <w:r w:rsidR="00D8271B" w:rsidRPr="000616E9">
        <w:t xml:space="preserve">, </w:t>
      </w:r>
    </w:p>
    <w:p w:rsidR="00D8271B" w:rsidRPr="000616E9" w:rsidRDefault="00225F86" w:rsidP="00D8271B">
      <w:pPr>
        <w:pStyle w:val="ListBullet"/>
      </w:pPr>
      <w:hyperlink r:id="rId15" w:history="1">
        <w:r w:rsidR="00D8271B" w:rsidRPr="000616E9">
          <w:rPr>
            <w:rStyle w:val="Hyperlink"/>
          </w:rPr>
          <w:t>Financial Checkup</w:t>
        </w:r>
      </w:hyperlink>
      <w:r w:rsidR="00D8271B" w:rsidRPr="000616E9">
        <w:t xml:space="preserve">, and </w:t>
      </w:r>
    </w:p>
    <w:p w:rsidR="00D8271B" w:rsidRDefault="00225F86" w:rsidP="00D8271B">
      <w:pPr>
        <w:pStyle w:val="ListBullet"/>
      </w:pPr>
      <w:hyperlink r:id="rId16" w:history="1">
        <w:r w:rsidR="00D8271B" w:rsidRPr="000616E9">
          <w:rPr>
            <w:rStyle w:val="Hyperlink"/>
          </w:rPr>
          <w:t>Just 1% more can make a big difference</w:t>
        </w:r>
      </w:hyperlink>
      <w:r w:rsidR="00D8271B" w:rsidRPr="00C0543D">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w:t>
      </w:r>
      <w:r w:rsidRPr="005E1C8D">
        <w:t xml:space="preserve"> </w:t>
      </w:r>
    </w:p>
    <w:p w:rsidR="00D8271B" w:rsidRDefault="00D8271B" w:rsidP="00D8271B">
      <w:pPr>
        <w:pStyle w:val="Heading4"/>
        <w:pBdr>
          <w:bottom w:val="none" w:sz="0" w:space="0" w:color="auto"/>
        </w:pBdr>
      </w:pPr>
    </w:p>
    <w:p w:rsidR="00673482" w:rsidRDefault="00673482" w:rsidP="00D8271B">
      <w:pPr>
        <w:pStyle w:val="BodyText"/>
      </w:pPr>
    </w:p>
    <w:p w:rsidR="00673482" w:rsidRDefault="00673482">
      <w:pPr>
        <w:rPr>
          <w:rFonts w:cs="Times New Roman"/>
          <w:color w:val="003276"/>
          <w:sz w:val="26"/>
          <w:szCs w:val="24"/>
        </w:rPr>
      </w:pPr>
      <w:bookmarkStart w:id="4" w:name="_Email_3:_Power"/>
      <w:bookmarkEnd w:id="4"/>
      <w:r>
        <w:br w:type="page"/>
      </w:r>
    </w:p>
    <w:p w:rsidR="00D8271B" w:rsidRDefault="00D8271B" w:rsidP="00D8271B">
      <w:pPr>
        <w:pStyle w:val="Heading4"/>
      </w:pPr>
      <w:bookmarkStart w:id="5" w:name="_Email_3:_Power_1"/>
      <w:bookmarkStart w:id="6" w:name="_Email_3:_Nutrition"/>
      <w:bookmarkEnd w:id="5"/>
      <w:bookmarkEnd w:id="6"/>
      <w:r>
        <w:lastRenderedPageBreak/>
        <w:t>Email 3: Nutrition</w:t>
      </w:r>
    </w:p>
    <w:p w:rsidR="00D8271B" w:rsidRPr="00486831" w:rsidRDefault="00D8271B" w:rsidP="00D8271B">
      <w:pPr>
        <w:pStyle w:val="Heading5"/>
      </w:pPr>
      <w:r>
        <w:t>Subject line:</w:t>
      </w:r>
      <w:r>
        <w:tab/>
        <w:t>Good nutrition pays off</w:t>
      </w:r>
    </w:p>
    <w:p w:rsidR="00D8271B" w:rsidRDefault="00D8271B" w:rsidP="00D8271B">
      <w:pPr>
        <w:pStyle w:val="BodyText"/>
      </w:pPr>
      <w:r>
        <w:t>Who says good nutrition doesn’t pay off?</w:t>
      </w:r>
    </w:p>
    <w:p w:rsidR="00D8271B" w:rsidRDefault="00D8271B" w:rsidP="00D8271B">
      <w:pPr>
        <w:pStyle w:val="BodyText"/>
      </w:pPr>
      <w:r>
        <w:t>Good nutrition can help reduce the risk of developing certain diseases and health conditions. The Medical Plan covers a consultation with a network nutritional counselor for only a $25 copay.</w:t>
      </w:r>
    </w:p>
    <w:p w:rsidR="00D8271B" w:rsidRDefault="00D8271B" w:rsidP="00D8271B">
      <w:pPr>
        <w:pStyle w:val="BodyText"/>
      </w:pPr>
      <w:r>
        <w:t xml:space="preserve">Read </w:t>
      </w:r>
      <w:hyperlink r:id="rId17" w:history="1">
        <w:r w:rsidRPr="009A7C57">
          <w:rPr>
            <w:rStyle w:val="Hyperlink"/>
          </w:rPr>
          <w:t>Eat your way to better health</w:t>
        </w:r>
      </w:hyperlink>
      <w:r>
        <w:t xml:space="preserve"> </w:t>
      </w:r>
      <w:r w:rsidR="00436D06">
        <w:t xml:space="preserve">and </w:t>
      </w:r>
      <w:hyperlink r:id="rId18" w:history="1">
        <w:r w:rsidR="00436D06" w:rsidRPr="00436D06">
          <w:rPr>
            <w:rStyle w:val="Hyperlink"/>
          </w:rPr>
          <w:t>Focus on healthy eating habits</w:t>
        </w:r>
      </w:hyperlink>
      <w:r w:rsidR="00436D06" w:rsidRPr="00436D06">
        <w:t xml:space="preserve"> </w:t>
      </w:r>
      <w:r w:rsidR="00436D06">
        <w:t xml:space="preserve">articles </w:t>
      </w:r>
      <w:r>
        <w:t xml:space="preserve">on pensions.org. And remember, when you visit a network nutritionist, record it on the </w:t>
      </w:r>
      <w:hyperlink r:id="rId19" w:history="1">
        <w:r w:rsidRPr="004914A2">
          <w:rPr>
            <w:rStyle w:val="Hyperlink"/>
          </w:rPr>
          <w:t>Call to Health</w:t>
        </w:r>
      </w:hyperlink>
      <w:r>
        <w:t xml:space="preserve"> website by </w:t>
      </w:r>
      <w:r w:rsidR="007465B3">
        <w:t xml:space="preserve">the </w:t>
      </w:r>
      <w:r>
        <w:t xml:space="preserve">November </w:t>
      </w:r>
      <w:r w:rsidR="007465B3">
        <w:t>deadline</w:t>
      </w:r>
      <w:r>
        <w:t xml:space="preserve"> to earn 100 points in the </w:t>
      </w:r>
      <w:hyperlink r:id="rId20" w:history="1">
        <w:r w:rsidRPr="00B17E48">
          <w:rPr>
            <w:rStyle w:val="Hyperlink"/>
          </w:rPr>
          <w:t>Call to Healt</w:t>
        </w:r>
        <w:r w:rsidR="00436D06">
          <w:rPr>
            <w:rStyle w:val="Hyperlink"/>
          </w:rPr>
          <w:t>h program</w:t>
        </w:r>
      </w:hyperlink>
      <w:r>
        <w:t>.</w:t>
      </w:r>
    </w:p>
    <w:p w:rsidR="00673482" w:rsidRPr="005E1C8D" w:rsidRDefault="00673482" w:rsidP="00945E5B">
      <w:pPr>
        <w:pStyle w:val="BodyText"/>
      </w:pPr>
    </w:p>
    <w:p w:rsidR="00673482" w:rsidRDefault="00673482">
      <w:pPr>
        <w:rPr>
          <w:rFonts w:cs="Times New Roman"/>
          <w:color w:val="003276"/>
          <w:sz w:val="26"/>
          <w:szCs w:val="24"/>
        </w:rPr>
      </w:pPr>
      <w:bookmarkStart w:id="7" w:name="_Email_4:_Learn"/>
      <w:bookmarkEnd w:id="7"/>
      <w:r>
        <w:br w:type="page"/>
      </w:r>
    </w:p>
    <w:p w:rsidR="00D56173" w:rsidRDefault="00D56173" w:rsidP="00D56173">
      <w:pPr>
        <w:pStyle w:val="Heading4"/>
      </w:pPr>
      <w:bookmarkStart w:id="8" w:name="_Email_4:_Telemedicine"/>
      <w:bookmarkEnd w:id="8"/>
      <w:r>
        <w:lastRenderedPageBreak/>
        <w:t>Email 4: Telemedicine through Teladoc</w:t>
      </w:r>
    </w:p>
    <w:p w:rsidR="00D56173" w:rsidRPr="00486831" w:rsidRDefault="00D56173" w:rsidP="00D56173">
      <w:pPr>
        <w:rPr>
          <w:b/>
        </w:rPr>
      </w:pPr>
      <w:r>
        <w:rPr>
          <w:b/>
        </w:rPr>
        <w:t>Subject line:</w:t>
      </w:r>
      <w:r>
        <w:rPr>
          <w:b/>
        </w:rPr>
        <w:tab/>
        <w:t>Need medical care right now?</w:t>
      </w:r>
    </w:p>
    <w:p w:rsidR="00D56173" w:rsidRDefault="00D56173" w:rsidP="00D56173">
      <w:pPr>
        <w:pStyle w:val="BodyText"/>
      </w:pPr>
      <w:r>
        <w:t xml:space="preserve">A valuable part of </w:t>
      </w:r>
      <w:r w:rsidR="00AE5084">
        <w:t>medical coverage through the Board of Pensions of the Presbyterian Church (U.S.A.)</w:t>
      </w:r>
      <w:r>
        <w:t xml:space="preserve"> is the telemedicine benefit through Teladoc. Teladoc gives you access to a licensed doctor via app, phone, or video 24/7 anywhere in the U.S. </w:t>
      </w:r>
    </w:p>
    <w:p w:rsidR="00D51D95" w:rsidRDefault="00D51D95" w:rsidP="00D51D95">
      <w:pPr>
        <w:pStyle w:val="BodyText"/>
      </w:pPr>
      <w:r>
        <w:t xml:space="preserve">To learn more, visit the </w:t>
      </w:r>
      <w:hyperlink r:id="rId21" w:history="1">
        <w:r w:rsidRPr="006F7C01">
          <w:rPr>
            <w:rStyle w:val="Hyperlink"/>
          </w:rPr>
          <w:t>Teladoc page on pensions.org</w:t>
        </w:r>
      </w:hyperlink>
      <w:r>
        <w:t xml:space="preserve">, or read </w:t>
      </w:r>
      <w:hyperlink r:id="rId22" w:history="1">
        <w:r w:rsidRPr="006E7FE9">
          <w:rPr>
            <w:rStyle w:val="Hyperlink"/>
          </w:rPr>
          <w:t>Teladoc app offers convenient access to quality medical care when traveling</w:t>
        </w:r>
      </w:hyperlink>
      <w:r>
        <w:t>.</w:t>
      </w:r>
    </w:p>
    <w:p w:rsidR="00673482" w:rsidRDefault="00673482" w:rsidP="00945E5B">
      <w:pPr>
        <w:pStyle w:val="BodyText"/>
      </w:pPr>
    </w:p>
    <w:p w:rsidR="00673482" w:rsidRDefault="00673482">
      <w:pPr>
        <w:rPr>
          <w:rFonts w:cs="Times New Roman"/>
          <w:color w:val="003276"/>
          <w:sz w:val="26"/>
          <w:szCs w:val="24"/>
        </w:rPr>
      </w:pPr>
      <w:bookmarkStart w:id="9" w:name="_Email_5:_Choosing"/>
      <w:bookmarkEnd w:id="9"/>
    </w:p>
    <w:p w:rsidR="00AE5084" w:rsidRDefault="00AE5084">
      <w:pPr>
        <w:rPr>
          <w:rFonts w:cs="Times New Roman"/>
          <w:color w:val="003276"/>
          <w:sz w:val="26"/>
          <w:szCs w:val="24"/>
        </w:rPr>
      </w:pPr>
      <w:r>
        <w:br w:type="page"/>
      </w:r>
    </w:p>
    <w:p w:rsidR="00D8271B" w:rsidRDefault="00D8271B" w:rsidP="00D8271B">
      <w:pPr>
        <w:pStyle w:val="Heading4"/>
      </w:pPr>
      <w:bookmarkStart w:id="10" w:name="_Email_5:_Importance"/>
      <w:bookmarkEnd w:id="10"/>
      <w:r>
        <w:lastRenderedPageBreak/>
        <w:t>Email 5: Importance of an emergency fund and updating beneficiaries</w:t>
      </w:r>
    </w:p>
    <w:p w:rsidR="00D8271B" w:rsidRPr="00486831" w:rsidRDefault="00D8271B" w:rsidP="00D8271B">
      <w:pPr>
        <w:pStyle w:val="Heading5"/>
      </w:pPr>
      <w:r>
        <w:t>Subject line:</w:t>
      </w:r>
      <w:r>
        <w:tab/>
        <w:t>How to build an emergency fund</w:t>
      </w:r>
    </w:p>
    <w:p w:rsidR="00D8271B" w:rsidRDefault="00D51D95" w:rsidP="00D8271B">
      <w:pPr>
        <w:pStyle w:val="BodyText"/>
        <w:rPr>
          <w:rStyle w:val="Hyperlink"/>
          <w:sz w:val="21"/>
        </w:rPr>
      </w:pPr>
      <w:r>
        <w:t xml:space="preserve">Wondering how you can possibly put aside a few dollars for emergencies if you can’t even pay the bills this month? Read </w:t>
      </w:r>
      <w:hyperlink r:id="rId23" w:history="1">
        <w:r w:rsidRPr="006D0963">
          <w:rPr>
            <w:rStyle w:val="Hyperlink"/>
          </w:rPr>
          <w:t>How to fast-track your emergency fund</w:t>
        </w:r>
      </w:hyperlink>
      <w:r w:rsidRPr="006D0963">
        <w:t xml:space="preserve"> </w:t>
      </w:r>
      <w:r>
        <w:t xml:space="preserve">and </w:t>
      </w:r>
      <w:hyperlink r:id="rId24" w:history="1">
        <w:r w:rsidRPr="006B7321">
          <w:rPr>
            <w:rStyle w:val="Hyperlink"/>
          </w:rPr>
          <w:t>How to save for an emergency</w:t>
        </w:r>
      </w:hyperlink>
      <w:r>
        <w:t>.</w:t>
      </w:r>
    </w:p>
    <w:p w:rsidR="00D8271B" w:rsidRDefault="00D8271B" w:rsidP="00D8271B">
      <w:pPr>
        <w:pStyle w:val="BodyText"/>
        <w:rPr>
          <w:rStyle w:val="Hyperlink"/>
          <w:sz w:val="21"/>
        </w:rPr>
      </w:pPr>
      <w:r w:rsidRPr="007D4DDF">
        <w:t xml:space="preserve">And, </w:t>
      </w:r>
      <w:r>
        <w:t xml:space="preserve">if you </w:t>
      </w:r>
      <w:r w:rsidRPr="007D4DDF">
        <w:t xml:space="preserve">participate in the Retirement Savings Plan, log on to </w:t>
      </w:r>
      <w:hyperlink r:id="rId25" w:history="1">
        <w:proofErr w:type="spellStart"/>
        <w:r w:rsidRPr="00C4414C">
          <w:rPr>
            <w:rStyle w:val="Hyperlink"/>
          </w:rPr>
          <w:t>NetBenefits</w:t>
        </w:r>
        <w:proofErr w:type="spellEnd"/>
      </w:hyperlink>
      <w:r>
        <w:t xml:space="preserve"> to review and update your beneficiaries. Read more here: </w:t>
      </w:r>
      <w:hyperlink r:id="rId26" w:history="1">
        <w:r w:rsidRPr="002F4578">
          <w:rPr>
            <w:rStyle w:val="Hyperlink"/>
            <w:sz w:val="21"/>
          </w:rPr>
          <w:t>Updating beneficiaries is an important part of financial planning</w:t>
        </w:r>
      </w:hyperlink>
      <w:r>
        <w:rPr>
          <w:sz w:val="21"/>
        </w:rPr>
        <w:t xml:space="preserve"> and </w:t>
      </w:r>
      <w:hyperlink r:id="rId27" w:history="1">
        <w:r w:rsidRPr="00202422">
          <w:rPr>
            <w:rStyle w:val="Hyperlink"/>
            <w:sz w:val="21"/>
          </w:rPr>
          <w:t>How to Update Your Beneficiaries</w:t>
        </w:r>
      </w:hyperlink>
      <w:r>
        <w:rPr>
          <w:rStyle w:val="Hyperlink"/>
          <w:sz w:val="21"/>
        </w:rPr>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 xml:space="preserve">. </w:t>
      </w:r>
    </w:p>
    <w:p w:rsidR="00673482" w:rsidRPr="005E1C8D" w:rsidRDefault="00673482" w:rsidP="00945E5B">
      <w:pPr>
        <w:pStyle w:val="BodyText"/>
      </w:pPr>
    </w:p>
    <w:p w:rsidR="00673482" w:rsidRDefault="00673482">
      <w:pPr>
        <w:rPr>
          <w:rFonts w:cs="Times New Roman"/>
          <w:color w:val="003276"/>
          <w:sz w:val="26"/>
          <w:szCs w:val="24"/>
        </w:rPr>
      </w:pPr>
      <w:bookmarkStart w:id="11" w:name="_Email_6:_What"/>
      <w:bookmarkEnd w:id="11"/>
      <w:r>
        <w:br w:type="page"/>
      </w:r>
    </w:p>
    <w:p w:rsidR="00D51D95" w:rsidRDefault="00D51D95" w:rsidP="00D51D95">
      <w:pPr>
        <w:pStyle w:val="Heading4"/>
      </w:pPr>
      <w:bookmarkStart w:id="12" w:name="_Email_6:_Assistance"/>
      <w:bookmarkEnd w:id="12"/>
      <w:r>
        <w:lastRenderedPageBreak/>
        <w:t>Email 6: Dental health</w:t>
      </w:r>
    </w:p>
    <w:p w:rsidR="00D51D95" w:rsidRPr="00486831" w:rsidRDefault="00D51D95" w:rsidP="00D51D95">
      <w:pPr>
        <w:rPr>
          <w:b/>
        </w:rPr>
      </w:pPr>
      <w:r>
        <w:rPr>
          <w:b/>
        </w:rPr>
        <w:t>Subject line:</w:t>
      </w:r>
      <w:r>
        <w:rPr>
          <w:b/>
        </w:rPr>
        <w:tab/>
        <w:t>Don’t forget your annual dental exam</w:t>
      </w:r>
    </w:p>
    <w:p w:rsidR="00D51D95" w:rsidRDefault="00D51D95" w:rsidP="00D51D95">
      <w:pPr>
        <w:pStyle w:val="BodyText"/>
      </w:pPr>
      <w:r>
        <w:t>When was your last visit to the dentist for a professional cleaning and exam?</w:t>
      </w:r>
    </w:p>
    <w:p w:rsidR="00D51D95" w:rsidRDefault="00D51D95" w:rsidP="00D51D95">
      <w:pPr>
        <w:pStyle w:val="BodyText"/>
      </w:pPr>
      <w:r>
        <w:t xml:space="preserve">Many people don’t realize the importance of preventive dental care and how it can contribute to overall health and well-being. Learn about the connection between dental health and a healthier life at </w:t>
      </w:r>
      <w:hyperlink r:id="rId28" w:history="1">
        <w:r w:rsidRPr="005D6485">
          <w:rPr>
            <w:rStyle w:val="Hyperlink"/>
          </w:rPr>
          <w:t>Aetna’s website</w:t>
        </w:r>
      </w:hyperlink>
      <w:r>
        <w:t xml:space="preserve">.* </w:t>
      </w:r>
    </w:p>
    <w:p w:rsidR="00D51D95" w:rsidRDefault="00D51D95" w:rsidP="00D51D95">
      <w:pPr>
        <w:pStyle w:val="BodyText"/>
      </w:pPr>
      <w:r>
        <w:t xml:space="preserve">If you elected dental coverage through the Board, preventive care, routine checkups, cleanings, and bitewing X-rays are covered at 100 percent. Learn more about these benefits on </w:t>
      </w:r>
      <w:hyperlink r:id="rId29" w:history="1">
        <w:r w:rsidRPr="003028AF">
          <w:rPr>
            <w:rStyle w:val="Hyperlink"/>
          </w:rPr>
          <w:t>pensions.org</w:t>
        </w:r>
      </w:hyperlink>
      <w:r>
        <w:t>.</w:t>
      </w:r>
    </w:p>
    <w:p w:rsidR="00D51D95" w:rsidRDefault="00D51D95" w:rsidP="00D51D95">
      <w:pPr>
        <w:pStyle w:val="BodyText"/>
      </w:pPr>
      <w:r>
        <w:t xml:space="preserve">Don’t forget to record your preventive dental exam on the </w:t>
      </w:r>
      <w:hyperlink r:id="rId30" w:history="1">
        <w:r w:rsidRPr="00BE0CD5">
          <w:rPr>
            <w:rStyle w:val="Hyperlink"/>
          </w:rPr>
          <w:t>Call to Health</w:t>
        </w:r>
      </w:hyperlink>
      <w:r>
        <w:t xml:space="preserve"> website to </w:t>
      </w:r>
      <w:hyperlink r:id="rId31" w:history="1">
        <w:r w:rsidRPr="005D6485">
          <w:rPr>
            <w:rStyle w:val="Hyperlink"/>
          </w:rPr>
          <w:t>earn points</w:t>
        </w:r>
      </w:hyperlink>
      <w:r>
        <w:t xml:space="preserve">. </w:t>
      </w:r>
    </w:p>
    <w:p w:rsidR="00D51D95" w:rsidRDefault="00D51D95" w:rsidP="00D51D95">
      <w:pPr>
        <w:pStyle w:val="BodyText"/>
      </w:pPr>
      <w:r w:rsidRPr="00615A80">
        <w:rPr>
          <w:i/>
        </w:rPr>
        <w:t>*- Dental coverage through the Benefits Plan of the Presbyterian Church (U.S.A.) is administered by Aetna</w:t>
      </w:r>
      <w:r>
        <w:t>.</w:t>
      </w:r>
    </w:p>
    <w:p w:rsidR="006C2CAD" w:rsidRDefault="006C2CAD">
      <w:pPr>
        <w:rPr>
          <w:rFonts w:cs="Times New Roman"/>
          <w:color w:val="003276"/>
          <w:sz w:val="26"/>
          <w:szCs w:val="24"/>
        </w:rPr>
      </w:pPr>
      <w:r>
        <w:br w:type="page"/>
      </w:r>
    </w:p>
    <w:p w:rsidR="00FB6A12" w:rsidRDefault="00FB6A12" w:rsidP="00FB6A12">
      <w:pPr>
        <w:pStyle w:val="Heading4"/>
      </w:pPr>
      <w:bookmarkStart w:id="13" w:name="_Email_7:_Employee"/>
      <w:bookmarkEnd w:id="13"/>
      <w:r>
        <w:lastRenderedPageBreak/>
        <w:t>Email 7: Employee Assistance Program (EAP)</w:t>
      </w:r>
    </w:p>
    <w:p w:rsidR="00FB6A12" w:rsidRPr="00486831" w:rsidRDefault="00FB6A12" w:rsidP="00FB6A12">
      <w:pPr>
        <w:rPr>
          <w:b/>
        </w:rPr>
      </w:pPr>
      <w:r>
        <w:rPr>
          <w:b/>
        </w:rPr>
        <w:t>Subject line:</w:t>
      </w:r>
      <w:r>
        <w:rPr>
          <w:b/>
        </w:rPr>
        <w:tab/>
        <w:t>EAP: More than just counseling</w:t>
      </w:r>
    </w:p>
    <w:p w:rsidR="00FB6A12" w:rsidRDefault="00FB6A12" w:rsidP="00FB6A12">
      <w:pPr>
        <w:pStyle w:val="BodyText"/>
      </w:pPr>
      <w:r>
        <w:t>If you’ve heard about the Employee Assistance Program (EAP) available through our Medical Plan, you may not know about all the services it has to offer.  In addition to counseling for you and your household members, services include financial consultations, legal and tax assistance, senior care resources, and more.</w:t>
      </w:r>
    </w:p>
    <w:p w:rsidR="00D51D95" w:rsidRPr="00EF1CBE" w:rsidRDefault="00D51D95" w:rsidP="00D51D95">
      <w:pPr>
        <w:pStyle w:val="BodyText"/>
      </w:pPr>
      <w:r>
        <w:t xml:space="preserve">For more information, read </w:t>
      </w:r>
      <w:hyperlink r:id="rId32" w:history="1">
        <w:r w:rsidRPr="00225F86">
          <w:rPr>
            <w:rStyle w:val="Hyperlink"/>
          </w:rPr>
          <w:t>Emplo</w:t>
        </w:r>
        <w:bookmarkStart w:id="14" w:name="_GoBack"/>
        <w:bookmarkEnd w:id="14"/>
        <w:r w:rsidRPr="00225F86">
          <w:rPr>
            <w:rStyle w:val="Hyperlink"/>
          </w:rPr>
          <w:t>y</w:t>
        </w:r>
        <w:r w:rsidRPr="00225F86">
          <w:rPr>
            <w:rStyle w:val="Hyperlink"/>
          </w:rPr>
          <w:t>ee Assistance Program</w:t>
        </w:r>
      </w:hyperlink>
      <w:r>
        <w:t>.</w:t>
      </w:r>
    </w:p>
    <w:p w:rsidR="007A17C3" w:rsidRPr="00E87415" w:rsidRDefault="007A17C3" w:rsidP="00945E5B">
      <w:pPr>
        <w:pStyle w:val="BodyText"/>
      </w:pPr>
    </w:p>
    <w:p w:rsidR="00154113" w:rsidRPr="00E87415" w:rsidRDefault="00154113" w:rsidP="00945E5B">
      <w:pPr>
        <w:pStyle w:val="BodyText"/>
      </w:pPr>
      <w:bookmarkStart w:id="15" w:name="_Email_7:_Manage"/>
      <w:bookmarkEnd w:id="15"/>
    </w:p>
    <w:p w:rsidR="00154113" w:rsidRDefault="00154113">
      <w:pPr>
        <w:rPr>
          <w:rFonts w:cs="Times New Roman"/>
          <w:color w:val="003276"/>
          <w:sz w:val="26"/>
          <w:szCs w:val="24"/>
        </w:rPr>
      </w:pPr>
      <w:bookmarkStart w:id="16" w:name="_Email_8:_What’s"/>
      <w:bookmarkEnd w:id="16"/>
      <w:r>
        <w:br w:type="page"/>
      </w:r>
    </w:p>
    <w:p w:rsidR="00F16871" w:rsidRPr="00A46647" w:rsidRDefault="00F16871" w:rsidP="00F16871">
      <w:pPr>
        <w:pStyle w:val="Heading4"/>
      </w:pPr>
      <w:bookmarkStart w:id="17" w:name="_Email_8:_Vision"/>
      <w:bookmarkEnd w:id="17"/>
      <w:r w:rsidRPr="00A46647">
        <w:lastRenderedPageBreak/>
        <w:t xml:space="preserve">Email </w:t>
      </w:r>
      <w:r>
        <w:t>8:</w:t>
      </w:r>
      <w:r w:rsidRPr="00A46647">
        <w:t xml:space="preserve"> Vision </w:t>
      </w:r>
      <w:r>
        <w:t>benefits</w:t>
      </w:r>
    </w:p>
    <w:p w:rsidR="00F16871" w:rsidRDefault="00F16871" w:rsidP="00F16871">
      <w:pPr>
        <w:rPr>
          <w:b/>
        </w:rPr>
      </w:pPr>
      <w:r>
        <w:rPr>
          <w:b/>
        </w:rPr>
        <w:t>Subject line:</w:t>
      </w:r>
      <w:r>
        <w:rPr>
          <w:b/>
        </w:rPr>
        <w:tab/>
        <w:t>Protect those peepers!</w:t>
      </w:r>
    </w:p>
    <w:p w:rsidR="00F16871" w:rsidRPr="00496EFD" w:rsidRDefault="00F16871" w:rsidP="00AF5471">
      <w:pPr>
        <w:pStyle w:val="BodyText"/>
      </w:pPr>
      <w:r w:rsidRPr="00496EFD">
        <w:t xml:space="preserve">Your </w:t>
      </w:r>
      <w:r>
        <w:t xml:space="preserve">medical coverage includes an </w:t>
      </w:r>
      <w:r w:rsidRPr="007F750A">
        <w:t xml:space="preserve">annual </w:t>
      </w:r>
      <w:hyperlink r:id="rId33" w:history="1">
        <w:r w:rsidRPr="007F750A">
          <w:rPr>
            <w:rStyle w:val="Hyperlink"/>
          </w:rPr>
          <w:t>vision exam benefit</w:t>
        </w:r>
      </w:hyperlink>
      <w:r>
        <w:t xml:space="preserve"> with a participating VSP Choice network optometrist or ophthalmologist. Don’t forget to record your annual vision exam on the </w:t>
      </w:r>
      <w:hyperlink r:id="rId34" w:history="1">
        <w:r w:rsidRPr="00BE0CD5">
          <w:rPr>
            <w:rStyle w:val="Hyperlink"/>
          </w:rPr>
          <w:t>Call to Health</w:t>
        </w:r>
      </w:hyperlink>
      <w:r>
        <w:t xml:space="preserve"> website to </w:t>
      </w:r>
      <w:hyperlink r:id="rId35" w:history="1">
        <w:r w:rsidRPr="005D6485">
          <w:rPr>
            <w:rStyle w:val="Hyperlink"/>
          </w:rPr>
          <w:t>earn points</w:t>
        </w:r>
      </w:hyperlink>
      <w:r>
        <w:t xml:space="preserve">. </w:t>
      </w:r>
    </w:p>
    <w:p w:rsidR="00F16871" w:rsidRDefault="00F16871" w:rsidP="00AF5471">
      <w:pPr>
        <w:pStyle w:val="BodyText"/>
        <w:rPr>
          <w:rFonts w:cs="MyriadPro-Regular"/>
          <w:color w:val="1A1A1A"/>
        </w:rPr>
      </w:pPr>
      <w:r w:rsidRPr="00241B65">
        <w:t xml:space="preserve">If you elected </w:t>
      </w:r>
      <w:hyperlink r:id="rId36" w:history="1">
        <w:r w:rsidRPr="00D861A8">
          <w:rPr>
            <w:rStyle w:val="Hyperlink"/>
          </w:rPr>
          <w:t>vision eyewear coverage</w:t>
        </w:r>
      </w:hyperlink>
      <w:r w:rsidRPr="00241B65">
        <w:t xml:space="preserve"> through the Board, you have an </w:t>
      </w:r>
      <w:r>
        <w:t xml:space="preserve">annual allowance toward eligible vision services and materials, such as glasses and contact lenses, in addition to a discount for covered materials over and above the allowance. </w:t>
      </w:r>
      <w:r>
        <w:rPr>
          <w:rFonts w:cs="MyriadPro-Regular"/>
          <w:color w:val="1A1A1A"/>
        </w:rPr>
        <w:t>V</w:t>
      </w:r>
      <w:r w:rsidRPr="00241B65">
        <w:rPr>
          <w:rFonts w:cs="MyriadPro-Regular"/>
          <w:color w:val="1A1A1A"/>
        </w:rPr>
        <w:t>ision ey</w:t>
      </w:r>
      <w:r>
        <w:rPr>
          <w:rFonts w:cs="MyriadPro-Regular"/>
          <w:color w:val="1A1A1A"/>
        </w:rPr>
        <w:t xml:space="preserve">ewear coverage does not include </w:t>
      </w:r>
      <w:r w:rsidRPr="00241B65">
        <w:rPr>
          <w:rFonts w:cs="MyriadPro-Regular"/>
          <w:color w:val="1A1A1A"/>
        </w:rPr>
        <w:t xml:space="preserve">coverage for eye exams. </w:t>
      </w:r>
      <w:r>
        <w:rPr>
          <w:rFonts w:cs="MyriadPro-Regular"/>
          <w:color w:val="1A1A1A"/>
        </w:rPr>
        <w:t xml:space="preserve">If you elect vision eyewear coverage without Medical </w:t>
      </w:r>
      <w:r w:rsidRPr="00241B65">
        <w:rPr>
          <w:rFonts w:cs="MyriadPro-Regular"/>
          <w:color w:val="1A1A1A"/>
        </w:rPr>
        <w:t>Plan coverage, no eye exam benefit is available.</w:t>
      </w:r>
    </w:p>
    <w:p w:rsidR="00F16871" w:rsidRPr="00241B65" w:rsidRDefault="00F16871" w:rsidP="00AF5471">
      <w:pPr>
        <w:pStyle w:val="BodyText"/>
      </w:pPr>
      <w:r w:rsidRPr="00D861A8">
        <w:t xml:space="preserve">VSP has the </w:t>
      </w:r>
      <w:r>
        <w:t>one of the la</w:t>
      </w:r>
      <w:r w:rsidRPr="00D861A8">
        <w:t>rgest net</w:t>
      </w:r>
      <w:r>
        <w:t>work</w:t>
      </w:r>
      <w:r w:rsidR="00AF5471">
        <w:t>s</w:t>
      </w:r>
      <w:r>
        <w:t xml:space="preserve"> of independent vision care </w:t>
      </w:r>
      <w:r w:rsidRPr="00D861A8">
        <w:t>providers, and the network is</w:t>
      </w:r>
      <w:r>
        <w:t xml:space="preserve"> also supported by large retail </w:t>
      </w:r>
      <w:r w:rsidRPr="00D861A8">
        <w:t>chains, including Walmart, Sam’s Clu</w:t>
      </w:r>
      <w:r>
        <w:t xml:space="preserve">b, Costco, and Pearl Vision. In </w:t>
      </w:r>
      <w:r w:rsidRPr="00D861A8">
        <w:t>total, there are over 29,000 VSP pro</w:t>
      </w:r>
      <w:r>
        <w:t xml:space="preserve">vider offices, including 95,000 </w:t>
      </w:r>
      <w:r w:rsidRPr="00D861A8">
        <w:t>access points.</w:t>
      </w:r>
    </w:p>
    <w:p w:rsidR="00154113" w:rsidRDefault="00154113">
      <w:pPr>
        <w:rPr>
          <w:rFonts w:cs="Times New Roman"/>
          <w:color w:val="003276"/>
          <w:sz w:val="26"/>
          <w:szCs w:val="24"/>
        </w:rPr>
      </w:pPr>
      <w:bookmarkStart w:id="18" w:name="_Email_9:_Reminder"/>
      <w:bookmarkEnd w:id="18"/>
      <w:r>
        <w:br w:type="page"/>
      </w:r>
    </w:p>
    <w:p w:rsidR="00657F57" w:rsidRPr="00A46647" w:rsidRDefault="00657F57" w:rsidP="00657F57">
      <w:pPr>
        <w:pStyle w:val="Heading4"/>
      </w:pPr>
      <w:bookmarkStart w:id="19" w:name="_Email_9_to"/>
      <w:bookmarkEnd w:id="19"/>
      <w:r>
        <w:lastRenderedPageBreak/>
        <w:t>Em</w:t>
      </w:r>
      <w:r w:rsidRPr="00A46647">
        <w:t xml:space="preserve">ail </w:t>
      </w:r>
      <w:r>
        <w:t>9:</w:t>
      </w:r>
      <w:r w:rsidRPr="00A46647">
        <w:t xml:space="preserve"> </w:t>
      </w:r>
      <w:r w:rsidRPr="008F4EC3">
        <w:t>Annual enrollment: It’s here</w:t>
      </w:r>
    </w:p>
    <w:p w:rsidR="00657F57" w:rsidRDefault="00657F57" w:rsidP="00657F57">
      <w:pPr>
        <w:rPr>
          <w:b/>
        </w:rPr>
      </w:pPr>
      <w:r>
        <w:rPr>
          <w:b/>
        </w:rPr>
        <w:t>Subject line:</w:t>
      </w:r>
      <w:r>
        <w:rPr>
          <w:b/>
        </w:rPr>
        <w:tab/>
        <w:t xml:space="preserve">Annual enrollment is </w:t>
      </w:r>
      <w:r w:rsidRPr="008F4EC3">
        <w:rPr>
          <w:b/>
        </w:rPr>
        <w:t xml:space="preserve">October </w:t>
      </w:r>
      <w:r w:rsidRPr="00657F57">
        <w:rPr>
          <w:b/>
          <w:highlight w:val="yellow"/>
        </w:rPr>
        <w:t>XX</w:t>
      </w:r>
      <w:r w:rsidRPr="008F4EC3">
        <w:rPr>
          <w:b/>
        </w:rPr>
        <w:t xml:space="preserve"> to November </w:t>
      </w:r>
      <w:r w:rsidRPr="00657F57">
        <w:rPr>
          <w:b/>
          <w:highlight w:val="yellow"/>
        </w:rPr>
        <w:t>XX</w:t>
      </w:r>
    </w:p>
    <w:p w:rsidR="00657F57" w:rsidRDefault="00657F57" w:rsidP="00657F57">
      <w:pPr>
        <w:pStyle w:val="BodyText"/>
      </w:pPr>
      <w:r>
        <w:t xml:space="preserve">During annual enrollment, </w:t>
      </w:r>
      <w:r w:rsidR="00C81281">
        <w:t>you</w:t>
      </w:r>
      <w:r>
        <w:t xml:space="preserve"> may change benefit</w:t>
      </w:r>
      <w:r w:rsidR="00C81281">
        <w:t>s</w:t>
      </w:r>
      <w:r>
        <w:t xml:space="preserve"> elections, or add or drop coverage, for </w:t>
      </w:r>
      <w:r w:rsidR="00C81281">
        <w:t>next year</w:t>
      </w:r>
      <w:r>
        <w:t>. You can start preparing for annual enrollment now:</w:t>
      </w:r>
    </w:p>
    <w:p w:rsidR="00657F57" w:rsidRPr="005F0162" w:rsidRDefault="00657F57" w:rsidP="00BA6E8C">
      <w:pPr>
        <w:pStyle w:val="ListBullet"/>
      </w:pPr>
      <w:r w:rsidRPr="005F0162">
        <w:t xml:space="preserve">Log on to </w:t>
      </w:r>
      <w:hyperlink r:id="rId37" w:history="1">
        <w:r w:rsidRPr="005F0162">
          <w:rPr>
            <w:rStyle w:val="Hyperlink"/>
          </w:rPr>
          <w:t>Benefits Connect</w:t>
        </w:r>
      </w:hyperlink>
      <w:r w:rsidRPr="005F0162">
        <w:t xml:space="preserve"> to review the coverage you currently have.</w:t>
      </w:r>
    </w:p>
    <w:p w:rsidR="00657F57" w:rsidRPr="00BA6E8C" w:rsidRDefault="00657F57" w:rsidP="00BA6E8C">
      <w:pPr>
        <w:pStyle w:val="ListBullet"/>
      </w:pPr>
      <w:r w:rsidRPr="00BA6E8C">
        <w:t>Think about whether the same coverage will meet your needs next year.</w:t>
      </w:r>
    </w:p>
    <w:p w:rsidR="00657F57" w:rsidRDefault="00657F57" w:rsidP="00BA6E8C">
      <w:pPr>
        <w:pStyle w:val="ListBullet"/>
      </w:pPr>
      <w:r w:rsidRPr="005F0162">
        <w:t xml:space="preserve">Learn about benefits </w:t>
      </w:r>
      <w:r>
        <w:t xml:space="preserve">available next year </w:t>
      </w:r>
      <w:r w:rsidRPr="005F0162">
        <w:t>and important things to consider when electing benefits [</w:t>
      </w:r>
      <w:r w:rsidRPr="005F0162">
        <w:rPr>
          <w:highlight w:val="yellow"/>
        </w:rPr>
        <w:t>link to pensions.org page and/or news article TBD</w:t>
      </w:r>
      <w:r w:rsidRPr="005F0162">
        <w:t>].</w:t>
      </w:r>
    </w:p>
    <w:p w:rsidR="00657F57" w:rsidRDefault="00657F57" w:rsidP="00657F57">
      <w:pPr>
        <w:pStyle w:val="BodyText"/>
      </w:pPr>
      <w:r>
        <w:t>Then, when annual enrollment begins in October, you can view your benefits options and costs on Benefits Connect and enroll or make changes to your coverage effective January 1. Remember, annual enrollment is your only chance to make changes or elect coverage for next year unless you have a qualifying life event during the year.</w:t>
      </w:r>
    </w:p>
    <w:p w:rsidR="00657F57" w:rsidRDefault="00657F57" w:rsidP="00657F57">
      <w:pPr>
        <w:pStyle w:val="BodyText"/>
      </w:pPr>
      <w:r>
        <w:t xml:space="preserve">While you’re electing benefits during annual enrollment, take a moment to review and update your beneficiaries to be sure that any survivor benefits will be paid as intended. From your </w:t>
      </w:r>
      <w:hyperlink r:id="rId38" w:history="1">
        <w:r w:rsidRPr="00DC2560">
          <w:rPr>
            <w:rStyle w:val="Hyperlink"/>
          </w:rPr>
          <w:t>Benefits Connect</w:t>
        </w:r>
      </w:hyperlink>
      <w:r>
        <w:t xml:space="preserve"> home page, choose My Benefits and select Death to add, remove, or update beneficiaries. Learn more by reading </w:t>
      </w:r>
      <w:hyperlink r:id="rId39" w:history="1">
        <w:r w:rsidRPr="00DC2560">
          <w:rPr>
            <w:rStyle w:val="Hyperlink"/>
          </w:rPr>
          <w:t>Benefits Connec</w:t>
        </w:r>
        <w:r>
          <w:rPr>
            <w:rStyle w:val="Hyperlink"/>
          </w:rPr>
          <w:t>t: It’s not just for annual enrollmen</w:t>
        </w:r>
        <w:r w:rsidRPr="00DC2560">
          <w:rPr>
            <w:rStyle w:val="Hyperlink"/>
          </w:rPr>
          <w:t>t</w:t>
        </w:r>
      </w:hyperlink>
      <w:r>
        <w:t>.</w:t>
      </w:r>
    </w:p>
    <w:p w:rsidR="00657F57" w:rsidRPr="00DC2560" w:rsidRDefault="00657F57" w:rsidP="00657F57">
      <w:pPr>
        <w:pStyle w:val="NormalWeb"/>
        <w:spacing w:after="120"/>
        <w:rPr>
          <w:rFonts w:asciiTheme="minorHAnsi" w:hAnsiTheme="minorHAnsi" w:cs="Open Sans"/>
          <w:b/>
          <w:i/>
          <w:color w:val="000D20"/>
          <w:sz w:val="22"/>
          <w:szCs w:val="22"/>
        </w:rPr>
      </w:pPr>
      <w:r w:rsidRPr="00DC2560">
        <w:rPr>
          <w:rFonts w:asciiTheme="minorHAnsi" w:hAnsiTheme="minorHAnsi" w:cs="Open Sans"/>
          <w:b/>
          <w:i/>
          <w:color w:val="000D20"/>
          <w:sz w:val="22"/>
          <w:szCs w:val="22"/>
        </w:rPr>
        <w:t xml:space="preserve">And, time is running out to save on </w:t>
      </w:r>
      <w:r>
        <w:rPr>
          <w:rFonts w:asciiTheme="minorHAnsi" w:hAnsiTheme="minorHAnsi" w:cs="Open Sans"/>
          <w:b/>
          <w:i/>
          <w:color w:val="000D20"/>
          <w:sz w:val="22"/>
          <w:szCs w:val="22"/>
        </w:rPr>
        <w:t>next year’s</w:t>
      </w:r>
      <w:r w:rsidRPr="00DC2560">
        <w:rPr>
          <w:rFonts w:asciiTheme="minorHAnsi" w:hAnsiTheme="minorHAnsi" w:cs="Open Sans"/>
          <w:b/>
          <w:i/>
          <w:color w:val="000D20"/>
          <w:sz w:val="22"/>
          <w:szCs w:val="22"/>
        </w:rPr>
        <w:t xml:space="preserve"> medical deductibles</w:t>
      </w:r>
    </w:p>
    <w:p w:rsidR="00657F57" w:rsidRDefault="00657F57" w:rsidP="00657F57">
      <w:pPr>
        <w:pStyle w:val="BodyText"/>
      </w:pPr>
      <w:r w:rsidRPr="00DC2560">
        <w:t xml:space="preserve">If you’ve already completed </w:t>
      </w:r>
      <w:hyperlink r:id="rId40" w:history="1">
        <w:r w:rsidRPr="00DA49EC">
          <w:rPr>
            <w:rStyle w:val="Hyperlink"/>
            <w:rFonts w:cs="Open Sans"/>
          </w:rPr>
          <w:t>Call to Health</w:t>
        </w:r>
      </w:hyperlink>
      <w:r w:rsidRPr="00DC2560">
        <w:t>, congratulations and thank you! If you haven’t, you still have time to earn red</w:t>
      </w:r>
      <w:r>
        <w:t>uced medical deductibles for next year</w:t>
      </w:r>
      <w:r w:rsidRPr="00DC2560">
        <w:t xml:space="preserve"> </w:t>
      </w:r>
      <w:r>
        <w:t>by recording activities and completed challenges on the</w:t>
      </w:r>
      <w:r w:rsidRPr="00DC2560">
        <w:t xml:space="preserve"> </w:t>
      </w:r>
      <w:hyperlink r:id="rId41" w:history="1">
        <w:r w:rsidRPr="00DA49EC">
          <w:rPr>
            <w:rStyle w:val="Hyperlink"/>
            <w:rFonts w:cs="Open Sans"/>
          </w:rPr>
          <w:t>Call to Health</w:t>
        </w:r>
      </w:hyperlink>
      <w:r w:rsidRPr="00DC2560">
        <w:t xml:space="preserve"> </w:t>
      </w:r>
      <w:r>
        <w:t xml:space="preserve">website </w:t>
      </w:r>
      <w:r w:rsidRPr="00DC2560">
        <w:t>— bu</w:t>
      </w:r>
      <w:r>
        <w:t xml:space="preserve">t you need to act by the </w:t>
      </w:r>
      <w:r w:rsidRPr="008F4EC3">
        <w:t>November</w:t>
      </w:r>
      <w:r w:rsidRPr="005F0162">
        <w:t xml:space="preserve"> </w:t>
      </w:r>
      <w:r>
        <w:t>deadline!</w:t>
      </w:r>
    </w:p>
    <w:p w:rsidR="007A17C3" w:rsidRDefault="007A17C3" w:rsidP="00945E5B">
      <w:pPr>
        <w:pStyle w:val="BodyText"/>
      </w:pPr>
    </w:p>
    <w:p w:rsidR="00154113" w:rsidRPr="00AF579F" w:rsidRDefault="00154113" w:rsidP="00945E5B">
      <w:pPr>
        <w:pStyle w:val="BodyText"/>
      </w:pPr>
    </w:p>
    <w:p w:rsidR="00154113" w:rsidRDefault="00154113">
      <w:pPr>
        <w:rPr>
          <w:rFonts w:cs="Times New Roman"/>
          <w:color w:val="003276"/>
          <w:sz w:val="26"/>
          <w:szCs w:val="24"/>
        </w:rPr>
      </w:pPr>
      <w:bookmarkStart w:id="20" w:name="_Email_10:_Save/save"/>
      <w:bookmarkEnd w:id="20"/>
      <w:r>
        <w:br w:type="page"/>
      </w:r>
    </w:p>
    <w:p w:rsidR="007A17C3" w:rsidRDefault="007A17C3" w:rsidP="00341E6B">
      <w:pPr>
        <w:pStyle w:val="Heading4"/>
      </w:pPr>
      <w:bookmarkStart w:id="21" w:name="_Email_10:_Save/save_1"/>
      <w:bookmarkEnd w:id="21"/>
      <w:r>
        <w:lastRenderedPageBreak/>
        <w:t>Email 10: Save/save more in the RSP during annual enrollment</w:t>
      </w:r>
    </w:p>
    <w:p w:rsidR="007A17C3" w:rsidRDefault="007A17C3" w:rsidP="002E26EA">
      <w:pPr>
        <w:pStyle w:val="Heading5"/>
      </w:pPr>
      <w:r>
        <w:t>Subject line:</w:t>
      </w:r>
      <w:r>
        <w:tab/>
        <w:t>Annual enrollment is a good time to remember the RSP</w:t>
      </w:r>
    </w:p>
    <w:p w:rsidR="007A17C3" w:rsidRDefault="007A17C3" w:rsidP="00945E5B">
      <w:pPr>
        <w:pStyle w:val="BodyText"/>
      </w:pPr>
      <w:r>
        <w:t xml:space="preserve">Although you can sign up for the Retirement Savings Plan, or change your RSP elections at any time, annual enrollment season </w:t>
      </w:r>
      <w:r w:rsidR="00675F51">
        <w:t>–</w:t>
      </w:r>
      <w:r>
        <w:t xml:space="preserve"> October and November – is a good time to think about saving (or saving more) in the Retirement Savings Plan, because it’s when you or family members may be making benefits decisions that affect your finances.</w:t>
      </w:r>
    </w:p>
    <w:p w:rsidR="007A17C3" w:rsidRDefault="007A17C3" w:rsidP="00945E5B">
      <w:pPr>
        <w:pStyle w:val="BodyText"/>
      </w:pPr>
      <w:r>
        <w:t xml:space="preserve">To learn more about the RSP, refer to the </w:t>
      </w:r>
      <w:hyperlink r:id="rId42" w:history="1">
        <w:r w:rsidRPr="00680FEC">
          <w:rPr>
            <w:rStyle w:val="Hyperlink"/>
            <w:sz w:val="21"/>
          </w:rPr>
          <w:t>R</w:t>
        </w:r>
        <w:r w:rsidR="004E201F">
          <w:rPr>
            <w:rStyle w:val="Hyperlink"/>
            <w:sz w:val="21"/>
          </w:rPr>
          <w:t xml:space="preserve">etirement </w:t>
        </w:r>
        <w:r w:rsidRPr="00680FEC">
          <w:rPr>
            <w:rStyle w:val="Hyperlink"/>
            <w:sz w:val="21"/>
          </w:rPr>
          <w:t>S</w:t>
        </w:r>
        <w:r w:rsidR="004E201F">
          <w:rPr>
            <w:rStyle w:val="Hyperlink"/>
            <w:sz w:val="21"/>
          </w:rPr>
          <w:t xml:space="preserve">avings </w:t>
        </w:r>
        <w:r w:rsidRPr="00680FEC">
          <w:rPr>
            <w:rStyle w:val="Hyperlink"/>
            <w:sz w:val="21"/>
          </w:rPr>
          <w:t>P</w:t>
        </w:r>
        <w:r w:rsidR="004E201F">
          <w:rPr>
            <w:rStyle w:val="Hyperlink"/>
            <w:sz w:val="21"/>
          </w:rPr>
          <w:t>lan</w:t>
        </w:r>
        <w:r w:rsidRPr="00680FEC">
          <w:rPr>
            <w:rStyle w:val="Hyperlink"/>
            <w:sz w:val="21"/>
          </w:rPr>
          <w:t xml:space="preserve"> </w:t>
        </w:r>
        <w:r>
          <w:rPr>
            <w:rStyle w:val="Hyperlink"/>
            <w:sz w:val="21"/>
          </w:rPr>
          <w:t xml:space="preserve">Fidelity </w:t>
        </w:r>
        <w:r w:rsidRPr="00680FEC">
          <w:rPr>
            <w:rStyle w:val="Hyperlink"/>
            <w:sz w:val="21"/>
          </w:rPr>
          <w:t>enrollment guide</w:t>
        </w:r>
      </w:hyperlink>
      <w:r w:rsidRPr="003A095E">
        <w:t xml:space="preserve">. </w:t>
      </w:r>
      <w:r>
        <w:t>Once you’re ready to</w:t>
      </w:r>
      <w:r>
        <w:rPr>
          <w:rStyle w:val="Hyperlink"/>
          <w:sz w:val="21"/>
        </w:rPr>
        <w:t xml:space="preserve"> </w:t>
      </w:r>
      <w:r>
        <w:t xml:space="preserve">sign up, complete the </w:t>
      </w:r>
      <w:hyperlink r:id="rId43" w:history="1">
        <w:r w:rsidR="004E201F">
          <w:rPr>
            <w:rStyle w:val="Hyperlink"/>
          </w:rPr>
          <w:t>RSP S</w:t>
        </w:r>
        <w:r w:rsidRPr="00CB713D">
          <w:rPr>
            <w:rStyle w:val="Hyperlink"/>
          </w:rPr>
          <w:t>alary Deferral Agreement</w:t>
        </w:r>
      </w:hyperlink>
      <w:r>
        <w:t xml:space="preserve"> and </w:t>
      </w:r>
      <w:hyperlink r:id="rId44" w:history="1">
        <w:r w:rsidRPr="00CB713D">
          <w:rPr>
            <w:rStyle w:val="Hyperlink"/>
          </w:rPr>
          <w:t xml:space="preserve">RSP </w:t>
        </w:r>
        <w:r w:rsidR="004E201F">
          <w:rPr>
            <w:rStyle w:val="Hyperlink"/>
          </w:rPr>
          <w:t xml:space="preserve">Fidelity Investments </w:t>
        </w:r>
        <w:r w:rsidRPr="00CB713D">
          <w:rPr>
            <w:rStyle w:val="Hyperlink"/>
          </w:rPr>
          <w:t>enrollment form</w:t>
        </w:r>
      </w:hyperlink>
      <w:r>
        <w:t xml:space="preserve"> and return them to your employer. After you sign up, read </w:t>
      </w:r>
      <w:hyperlink r:id="rId45" w:history="1">
        <w:r w:rsidR="00603691" w:rsidRPr="00603691">
          <w:rPr>
            <w:rStyle w:val="Hyperlink"/>
          </w:rPr>
          <w:t>How the RSP Works</w:t>
        </w:r>
      </w:hyperlink>
      <w:r w:rsidR="00603691">
        <w:t xml:space="preserve"> and </w:t>
      </w:r>
      <w:hyperlink r:id="rId46" w:history="1">
        <w:r w:rsidR="00603691" w:rsidRPr="00603691">
          <w:rPr>
            <w:rStyle w:val="Hyperlink"/>
          </w:rPr>
          <w:t>Target Date Fund</w:t>
        </w:r>
        <w:r w:rsidR="00603691">
          <w:rPr>
            <w:rStyle w:val="Hyperlink"/>
          </w:rPr>
          <w:t>s take the guesswork out of saving for retirement</w:t>
        </w:r>
      </w:hyperlink>
      <w:r w:rsidR="00603691">
        <w:t xml:space="preserve"> </w:t>
      </w:r>
      <w:r>
        <w:t xml:space="preserve">to </w:t>
      </w:r>
      <w:r w:rsidR="00603691">
        <w:t>learn more about</w:t>
      </w:r>
      <w:r>
        <w:t xml:space="preserve"> the plan.</w:t>
      </w:r>
    </w:p>
    <w:p w:rsidR="00154113" w:rsidRPr="00A709FE" w:rsidRDefault="007A17C3" w:rsidP="00A709FE">
      <w:pPr>
        <w:pStyle w:val="BodyText"/>
      </w:pPr>
      <w:r w:rsidRPr="00880600">
        <w:t xml:space="preserve">For more information, </w:t>
      </w:r>
      <w:r w:rsidR="00603691">
        <w:t>visit the Retirement Savings Plan pages at</w:t>
      </w:r>
      <w:r w:rsidRPr="00880600">
        <w:t xml:space="preserve"> pensions.org</w:t>
      </w:r>
      <w:r w:rsidR="00603691">
        <w:t>/</w:t>
      </w:r>
      <w:proofErr w:type="spellStart"/>
      <w:r w:rsidR="00603691">
        <w:t>benefitsguidance</w:t>
      </w:r>
      <w:proofErr w:type="spellEnd"/>
      <w:r w:rsidR="00603691">
        <w:t>.</w:t>
      </w:r>
      <w:bookmarkStart w:id="22" w:name="_Email_11:_It’s"/>
      <w:bookmarkEnd w:id="22"/>
      <w:r w:rsidR="00154113">
        <w:br w:type="page"/>
      </w:r>
    </w:p>
    <w:p w:rsidR="00473D50" w:rsidRPr="001007E1" w:rsidRDefault="00473D50" w:rsidP="00473D50">
      <w:pPr>
        <w:pStyle w:val="Heading4"/>
      </w:pPr>
      <w:bookmarkStart w:id="23" w:name="_Email_3_to_1"/>
      <w:bookmarkStart w:id="24" w:name="_Email_11:_Get"/>
      <w:bookmarkEnd w:id="23"/>
      <w:bookmarkEnd w:id="24"/>
      <w:r>
        <w:lastRenderedPageBreak/>
        <w:t>E</w:t>
      </w:r>
      <w:r w:rsidRPr="001007E1">
        <w:t xml:space="preserve">mail </w:t>
      </w:r>
      <w:r>
        <w:t>11</w:t>
      </w:r>
      <w:r w:rsidRPr="001007E1">
        <w:t>: Get the most out of your prescription drug coverage</w:t>
      </w:r>
    </w:p>
    <w:p w:rsidR="00473D50" w:rsidRDefault="00473D50" w:rsidP="00473D50">
      <w:pPr>
        <w:pStyle w:val="Heading5"/>
      </w:pPr>
      <w:r>
        <w:t>Subject line:</w:t>
      </w:r>
      <w:r>
        <w:tab/>
        <w:t>Get the most out of your prescription drug coverage</w:t>
      </w:r>
    </w:p>
    <w:p w:rsidR="00473D50" w:rsidRPr="00BB3B02" w:rsidRDefault="00D51D95" w:rsidP="00473D50">
      <w:pPr>
        <w:pStyle w:val="BodyText"/>
      </w:pPr>
      <w:r w:rsidRPr="00BB3B02">
        <w:t xml:space="preserve">Your </w:t>
      </w:r>
      <w:hyperlink r:id="rId47" w:history="1">
        <w:r w:rsidRPr="004511E3">
          <w:rPr>
            <w:rStyle w:val="Hyperlink"/>
          </w:rPr>
          <w:t>prescription drug coverage</w:t>
        </w:r>
      </w:hyperlink>
      <w:r w:rsidRPr="00BB3B02">
        <w:t xml:space="preserve"> through the Medical Plan offers several ways to save on out-of-pocket costs for medications prescribed by your doctor</w:t>
      </w:r>
      <w:r w:rsidR="00473D50" w:rsidRPr="00BB3B02">
        <w:t xml:space="preserve">.  </w:t>
      </w:r>
    </w:p>
    <w:p w:rsidR="00473D50" w:rsidRPr="00BB3B02" w:rsidRDefault="00473D50" w:rsidP="00BA6E8C">
      <w:pPr>
        <w:pStyle w:val="ListBullet"/>
      </w:pPr>
      <w:r w:rsidRPr="00BB3B02">
        <w:t>You can save on out-of-pocket costs for covered medications by selecting generics or formulary brand drugs.</w:t>
      </w:r>
    </w:p>
    <w:p w:rsidR="00473D50" w:rsidRPr="00BB3B02" w:rsidRDefault="00473D50" w:rsidP="00BA6E8C">
      <w:pPr>
        <w:pStyle w:val="ListBullet"/>
      </w:pPr>
      <w:r w:rsidRPr="00BB3B02">
        <w:t xml:space="preserve">If you </w:t>
      </w:r>
      <w:hyperlink r:id="rId48" w:history="1">
        <w:r w:rsidRPr="00BB3B02">
          <w:rPr>
            <w:rStyle w:val="Hyperlink"/>
          </w:rPr>
          <w:t>use the mail-order service</w:t>
        </w:r>
      </w:hyperlink>
      <w:r w:rsidRPr="00BB3B02">
        <w:t xml:space="preserve"> you can save on your out-of-pocket cost for medications (including those on the Preventive Drug List) that you take on a regular basis (for example, medications to treat high blood pressure, high cholesterol, or thyroid conditions). </w:t>
      </w:r>
    </w:p>
    <w:p w:rsidR="00473D50" w:rsidRPr="00BB3B02" w:rsidRDefault="00473D50" w:rsidP="00BA6E8C">
      <w:pPr>
        <w:pStyle w:val="ListBullet"/>
      </w:pPr>
      <w:r w:rsidRPr="00BB3B02">
        <w:t>If you use select preventive prescription drugs that are highly effective in preventing or managing chronic conditions, such as diabetes and high blood pressure, you pay reduced copays for these drugs in the PPO option, and you pay only a flat-dollar copay with no deductible in the HDHP option.</w:t>
      </w:r>
    </w:p>
    <w:p w:rsidR="004D6984" w:rsidRDefault="00473D50" w:rsidP="004D6984">
      <w:pPr>
        <w:pStyle w:val="BodyText"/>
      </w:pPr>
      <w:r w:rsidRPr="001007E1">
        <w:rPr>
          <w:rFonts w:cs="Open Sans"/>
          <w:color w:val="000D20"/>
          <w:szCs w:val="22"/>
        </w:rPr>
        <w:t xml:space="preserve">Read more about </w:t>
      </w:r>
      <w:hyperlink r:id="rId49" w:history="1">
        <w:r w:rsidRPr="001007E1">
          <w:rPr>
            <w:rFonts w:cs="Open Sans"/>
            <w:color w:val="0563C1" w:themeColor="hyperlink"/>
            <w:szCs w:val="22"/>
            <w:u w:val="single"/>
          </w:rPr>
          <w:t>How prescription drug benefits work</w:t>
        </w:r>
      </w:hyperlink>
      <w:r w:rsidR="004D6984" w:rsidRPr="004D6984">
        <w:t xml:space="preserve"> and</w:t>
      </w:r>
      <w:r w:rsidR="004D6984">
        <w:rPr>
          <w:rFonts w:cs="Open Sans"/>
          <w:color w:val="0563C1" w:themeColor="hyperlink"/>
          <w:szCs w:val="22"/>
          <w:u w:val="single"/>
        </w:rPr>
        <w:t xml:space="preserve"> </w:t>
      </w:r>
      <w:hyperlink r:id="rId50" w:history="1">
        <w:r w:rsidR="004D6984" w:rsidRPr="00AD32F6">
          <w:rPr>
            <w:rStyle w:val="Hyperlink"/>
          </w:rPr>
          <w:t>tips for lowering prescription drug costs</w:t>
        </w:r>
      </w:hyperlink>
      <w:r w:rsidR="004D6984">
        <w:t>.</w:t>
      </w:r>
    </w:p>
    <w:p w:rsidR="00473D50" w:rsidRDefault="00473D50" w:rsidP="004D6984">
      <w:pPr>
        <w:pStyle w:val="Heading4"/>
        <w:pBdr>
          <w:bottom w:val="none" w:sz="0" w:space="0" w:color="auto"/>
        </w:pBdr>
      </w:pPr>
    </w:p>
    <w:p w:rsidR="00154113" w:rsidRDefault="00154113">
      <w:pPr>
        <w:rPr>
          <w:rFonts w:cs="Times New Roman"/>
          <w:color w:val="003276"/>
          <w:sz w:val="26"/>
          <w:szCs w:val="24"/>
        </w:rPr>
      </w:pPr>
      <w:bookmarkStart w:id="25" w:name="_Email_12:_Retirement"/>
      <w:bookmarkEnd w:id="25"/>
      <w:r>
        <w:br w:type="page"/>
      </w:r>
    </w:p>
    <w:p w:rsidR="003874DF" w:rsidRPr="00FC13B0" w:rsidRDefault="003874DF" w:rsidP="003874DF">
      <w:pPr>
        <w:pStyle w:val="Heading4"/>
      </w:pPr>
      <w:bookmarkStart w:id="26" w:name="_Email_12:_From"/>
      <w:bookmarkEnd w:id="26"/>
      <w:r>
        <w:lastRenderedPageBreak/>
        <w:t>Email 12</w:t>
      </w:r>
      <w:r w:rsidRPr="00FC13B0">
        <w:t>: From senior leadership [</w:t>
      </w:r>
      <w:r w:rsidRPr="00242EB8">
        <w:rPr>
          <w:highlight w:val="yellow"/>
        </w:rPr>
        <w:t xml:space="preserve">version for employers </w:t>
      </w:r>
      <w:r w:rsidRPr="003874DF">
        <w:rPr>
          <w:i/>
          <w:highlight w:val="yellow"/>
        </w:rPr>
        <w:t>new</w:t>
      </w:r>
      <w:r w:rsidRPr="00242EB8">
        <w:rPr>
          <w:highlight w:val="yellow"/>
        </w:rPr>
        <w:t xml:space="preserve"> to Call to Health</w:t>
      </w:r>
      <w:r w:rsidRPr="00FC13B0">
        <w:t>]</w:t>
      </w:r>
    </w:p>
    <w:p w:rsidR="003874DF" w:rsidRPr="00C73FFC" w:rsidRDefault="003874DF" w:rsidP="003874DF">
      <w:pPr>
        <w:pStyle w:val="Heading5"/>
      </w:pPr>
      <w:r w:rsidRPr="00C73FFC">
        <w:t>Subject line:</w:t>
      </w:r>
      <w:r w:rsidRPr="00C73FFC">
        <w:tab/>
        <w:t xml:space="preserve">An invitation to be your best with Call to Health </w:t>
      </w:r>
    </w:p>
    <w:p w:rsidR="003874DF" w:rsidRPr="00654275" w:rsidRDefault="003874DF" w:rsidP="003874DF">
      <w:pPr>
        <w:pStyle w:val="BodyText"/>
      </w:pPr>
      <w:r w:rsidRPr="00654275">
        <w:t xml:space="preserve">Welcome to Call to Health, a well-being initiative for employees and their spouses who have medical coverage through the Board of Pensions. </w:t>
      </w:r>
    </w:p>
    <w:p w:rsidR="003874DF" w:rsidRPr="00654275" w:rsidRDefault="003874DF" w:rsidP="003874DF">
      <w:pPr>
        <w:pStyle w:val="BodyText"/>
      </w:pPr>
      <w:r w:rsidRPr="00654275">
        <w:t xml:space="preserve">We know you’re committed to </w:t>
      </w:r>
      <w:proofErr w:type="gramStart"/>
      <w:r w:rsidRPr="00654275">
        <w:t>being</w:t>
      </w:r>
      <w:proofErr w:type="gramEnd"/>
      <w:r w:rsidRPr="00654275">
        <w:t xml:space="preserve"> your best — and Call to Health can help you do just that by completing activities (called challenges) that focus on the four dimensions of wholeness: spiritual, health, financial, and vocational. By bringing these key areas into balance we can become our best selves and bring our unique gifts to our families, our communities, and those we serve. </w:t>
      </w:r>
    </w:p>
    <w:p w:rsidR="003874DF" w:rsidRDefault="003874DF" w:rsidP="003874DF">
      <w:pPr>
        <w:pStyle w:val="BodyText"/>
      </w:pPr>
      <w:r w:rsidRPr="00654275">
        <w:t>One aspect of the program that I’m particularly excited about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E3752" w:rsidRDefault="003874DF" w:rsidP="003874DF">
      <w:pPr>
        <w:pStyle w:val="Heading5"/>
        <w:spacing w:after="60" w:line="240" w:lineRule="auto"/>
      </w:pPr>
      <w:r w:rsidRPr="005E3752">
        <w:t>Get started today</w:t>
      </w:r>
    </w:p>
    <w:p w:rsidR="003874DF" w:rsidRPr="00654275" w:rsidRDefault="003874DF" w:rsidP="003874DF">
      <w:pPr>
        <w:pStyle w:val="BodyText"/>
      </w:pPr>
      <w:r w:rsidRPr="00654275">
        <w:t xml:space="preserve">I invite you to get started by registering at </w:t>
      </w:r>
      <w:hyperlink r:id="rId51" w:history="1">
        <w:r w:rsidRPr="007332C4">
          <w:rPr>
            <w:rStyle w:val="Hyperlink"/>
          </w:rPr>
          <w:t>calltohealth.org</w:t>
        </w:r>
      </w:hyperlink>
      <w:r w:rsidRPr="00654275">
        <w:t xml:space="preserve">. Then, by completing certain levels, you can qualify for reduced medical deductibles and earn gift cards. You can get all the details at </w:t>
      </w:r>
      <w:hyperlink r:id="rId52" w:history="1">
        <w:r w:rsidRPr="007332C4">
          <w:rPr>
            <w:rStyle w:val="Hyperlink"/>
          </w:rPr>
          <w:t>pensions.org/</w:t>
        </w:r>
        <w:proofErr w:type="spellStart"/>
        <w:r w:rsidRPr="007332C4">
          <w:rPr>
            <w:rStyle w:val="Hyperlink"/>
          </w:rPr>
          <w:t>calltohealth</w:t>
        </w:r>
        <w:proofErr w:type="spellEnd"/>
      </w:hyperlink>
      <w:r w:rsidRPr="00654275">
        <w:t xml:space="preserve">. </w:t>
      </w:r>
    </w:p>
    <w:p w:rsidR="003874DF" w:rsidRPr="006837BE" w:rsidRDefault="003874DF" w:rsidP="003874DF">
      <w:pPr>
        <w:pStyle w:val="BodyText"/>
      </w:pPr>
      <w:r w:rsidRPr="006837BE">
        <w:t xml:space="preserve">Once you’re registered you can </w:t>
      </w:r>
    </w:p>
    <w:p w:rsidR="003874DF" w:rsidRPr="006837BE" w:rsidRDefault="003874DF" w:rsidP="003874DF">
      <w:pPr>
        <w:pStyle w:val="ListBullet"/>
      </w:pPr>
      <w:r w:rsidRPr="006837BE">
        <w:t xml:space="preserve">explore and join personalized challenges; </w:t>
      </w:r>
    </w:p>
    <w:p w:rsidR="003874DF" w:rsidRPr="006837BE" w:rsidRDefault="003874DF" w:rsidP="003874DF">
      <w:pPr>
        <w:pStyle w:val="ListBullet"/>
      </w:pPr>
      <w:r w:rsidRPr="006837BE">
        <w:t xml:space="preserve">connect to devices and apps to track your activity on the go; and </w:t>
      </w:r>
    </w:p>
    <w:p w:rsidR="003874DF" w:rsidRPr="006837BE" w:rsidRDefault="003874DF" w:rsidP="003874DF">
      <w:pPr>
        <w:pStyle w:val="ListBullet"/>
      </w:pPr>
      <w:r w:rsidRPr="006837BE">
        <w:t>share your progress and accomplishments with others through the Call to Health Social Feed.</w:t>
      </w:r>
    </w:p>
    <w:p w:rsidR="003874DF" w:rsidRPr="006837BE" w:rsidRDefault="003874DF" w:rsidP="003874DF">
      <w:pPr>
        <w:pStyle w:val="BodyText"/>
      </w:pPr>
      <w:r w:rsidRPr="006837BE">
        <w:t xml:space="preserve">And, when you register and complete the Well-Being Assessment, you’ll receive a $50 Tango card! </w:t>
      </w:r>
    </w:p>
    <w:p w:rsidR="003874DF" w:rsidRPr="006837BE" w:rsidRDefault="003874DF" w:rsidP="003874DF">
      <w:pPr>
        <w:pStyle w:val="BodyText"/>
      </w:pPr>
      <w:r w:rsidRPr="006837BE">
        <w:t xml:space="preserve">I’m looking forward to answering the Call to Health. I hope you’ll join me. </w:t>
      </w:r>
    </w:p>
    <w:p w:rsidR="003874DF" w:rsidRDefault="003874DF" w:rsidP="003874DF">
      <w:pPr>
        <w:pStyle w:val="BodyText"/>
      </w:pPr>
      <w:r w:rsidRPr="006837BE">
        <w:t xml:space="preserve">Wishing you the best of health, </w:t>
      </w:r>
    </w:p>
    <w:p w:rsidR="003874DF" w:rsidRPr="00360D8F" w:rsidRDefault="003874DF" w:rsidP="003874DF">
      <w:pPr>
        <w:pStyle w:val="Heading5"/>
      </w:pPr>
      <w:r w:rsidRPr="00360D8F">
        <w:t>[Name]</w:t>
      </w:r>
    </w:p>
    <w:p w:rsidR="003874DF" w:rsidRDefault="003874DF">
      <w:pPr>
        <w:rPr>
          <w:rFonts w:cs="Times New Roman"/>
          <w:color w:val="003276"/>
          <w:sz w:val="26"/>
          <w:szCs w:val="24"/>
        </w:rPr>
      </w:pPr>
      <w:bookmarkStart w:id="27" w:name="_Kick-off_email:_From_1"/>
      <w:bookmarkEnd w:id="27"/>
      <w:r>
        <w:br w:type="page"/>
      </w:r>
    </w:p>
    <w:p w:rsidR="003874DF" w:rsidRDefault="003874DF" w:rsidP="003874DF">
      <w:pPr>
        <w:pStyle w:val="Heading4"/>
      </w:pPr>
      <w:bookmarkStart w:id="28" w:name="_Email_12:_From_1"/>
      <w:bookmarkEnd w:id="28"/>
      <w:r>
        <w:lastRenderedPageBreak/>
        <w:t>Email 12</w:t>
      </w:r>
      <w:r w:rsidRPr="00CE5BE5">
        <w:t xml:space="preserve">: </w:t>
      </w:r>
      <w:r>
        <w:t>From senior leadership [</w:t>
      </w:r>
      <w:r w:rsidRPr="00242EB8">
        <w:rPr>
          <w:highlight w:val="yellow"/>
        </w:rPr>
        <w:t xml:space="preserve">version for employers </w:t>
      </w:r>
      <w:r w:rsidRPr="003874DF">
        <w:rPr>
          <w:i/>
          <w:highlight w:val="yellow"/>
        </w:rPr>
        <w:t>already offering</w:t>
      </w:r>
      <w:r w:rsidRPr="00242EB8">
        <w:rPr>
          <w:highlight w:val="yellow"/>
        </w:rPr>
        <w:t xml:space="preserve"> Call to Health</w:t>
      </w:r>
      <w:r>
        <w:t>]</w:t>
      </w:r>
    </w:p>
    <w:p w:rsidR="003874DF" w:rsidRPr="0017488F" w:rsidRDefault="003874DF" w:rsidP="003874DF">
      <w:pPr>
        <w:pStyle w:val="Heading5"/>
      </w:pPr>
      <w:r w:rsidRPr="0017488F">
        <w:t>Subject</w:t>
      </w:r>
      <w:r>
        <w:t xml:space="preserve"> line</w:t>
      </w:r>
      <w:r w:rsidRPr="0017488F">
        <w:t xml:space="preserve">: </w:t>
      </w:r>
      <w:r w:rsidRPr="0017488F">
        <w:tab/>
        <w:t xml:space="preserve">An invitation to be your best with Call to Health </w:t>
      </w:r>
    </w:p>
    <w:p w:rsidR="003874DF" w:rsidRPr="0052062D" w:rsidRDefault="003874DF" w:rsidP="003874DF">
      <w:pPr>
        <w:pStyle w:val="BodyText"/>
      </w:pPr>
      <w:r w:rsidRPr="0052062D">
        <w:t xml:space="preserve">Welcome to a new year of Call to Health, a well-being initiative that helps you be your best by focusing on the four dimensions of wholeness: spiritual, health, financial, and vocational. By bringing these key areas into balance we can become our best selves and bring our unique gifts to our families, our communities, and those we serve. </w:t>
      </w:r>
    </w:p>
    <w:p w:rsidR="003874DF" w:rsidRPr="0052062D" w:rsidRDefault="003874DF" w:rsidP="003874DF">
      <w:pPr>
        <w:pStyle w:val="BodyText"/>
      </w:pPr>
      <w:r w:rsidRPr="0052062D">
        <w:t>One aspect of the program that I especially like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2062D" w:rsidRDefault="003874DF" w:rsidP="003874DF">
      <w:pPr>
        <w:pStyle w:val="Heading5"/>
      </w:pPr>
      <w:r>
        <w:t>Get started today</w:t>
      </w:r>
    </w:p>
    <w:p w:rsidR="003874DF" w:rsidRPr="0052062D" w:rsidRDefault="003874DF" w:rsidP="003874DF">
      <w:pPr>
        <w:pStyle w:val="BodyText"/>
      </w:pPr>
      <w:r w:rsidRPr="0052062D">
        <w:t xml:space="preserve">I invite you to get started today at </w:t>
      </w:r>
      <w:hyperlink r:id="rId53" w:history="1">
        <w:r w:rsidRPr="0052062D">
          <w:rPr>
            <w:rStyle w:val="Hyperlink"/>
          </w:rPr>
          <w:t>calltohealth.org</w:t>
        </w:r>
      </w:hyperlink>
      <w:r w:rsidRPr="0052062D">
        <w:t xml:space="preserve">. In addition to qualifying for reduced medical deductibles, there are new levels to complete and earn $50 Tango cards. You can get all the details at </w:t>
      </w:r>
      <w:hyperlink r:id="rId54" w:history="1">
        <w:r w:rsidRPr="0052062D">
          <w:rPr>
            <w:rStyle w:val="Hyperlink"/>
          </w:rPr>
          <w:t>pensions.org/</w:t>
        </w:r>
        <w:proofErr w:type="spellStart"/>
        <w:r w:rsidRPr="0052062D">
          <w:rPr>
            <w:rStyle w:val="Hyperlink"/>
          </w:rPr>
          <w:t>calltohealth</w:t>
        </w:r>
        <w:proofErr w:type="spellEnd"/>
      </w:hyperlink>
      <w:r w:rsidRPr="0052062D">
        <w:t>.</w:t>
      </w:r>
    </w:p>
    <w:p w:rsidR="003874DF" w:rsidRPr="0052062D" w:rsidRDefault="003874DF" w:rsidP="003874DF">
      <w:pPr>
        <w:pStyle w:val="BodyText"/>
      </w:pPr>
      <w:r w:rsidRPr="0052062D">
        <w:t xml:space="preserve">If you haven’t answered the call in the past, I encourage you to register on the Call to Health website and discover all that the program has to offer. And, when you register </w:t>
      </w:r>
      <w:r w:rsidRPr="0052062D">
        <w:rPr>
          <w:i/>
        </w:rPr>
        <w:t>and</w:t>
      </w:r>
      <w:r w:rsidRPr="0052062D">
        <w:t xml:space="preserve"> complete the Well-Being Assessment, you’ll receive a $50 Tango card! </w:t>
      </w:r>
    </w:p>
    <w:p w:rsidR="003874DF" w:rsidRPr="0052062D" w:rsidRDefault="003874DF" w:rsidP="003874DF">
      <w:pPr>
        <w:pStyle w:val="BodyText"/>
      </w:pPr>
      <w:r w:rsidRPr="0052062D">
        <w:t xml:space="preserve">I’m looking forward to answering the Call to Health. I hope you’ll join me. </w:t>
      </w:r>
    </w:p>
    <w:p w:rsidR="003874DF" w:rsidRPr="0052062D" w:rsidRDefault="003874DF" w:rsidP="003874DF">
      <w:pPr>
        <w:pStyle w:val="BodyText"/>
      </w:pPr>
      <w:r w:rsidRPr="0052062D">
        <w:t xml:space="preserve">Wishing you the best of health, </w:t>
      </w:r>
    </w:p>
    <w:p w:rsidR="003874DF" w:rsidRDefault="003874DF" w:rsidP="003874DF">
      <w:pPr>
        <w:pStyle w:val="Heading5"/>
      </w:pPr>
    </w:p>
    <w:p w:rsidR="003874DF" w:rsidRPr="0052062D" w:rsidRDefault="003874DF" w:rsidP="003874DF">
      <w:pPr>
        <w:pStyle w:val="Heading5"/>
      </w:pPr>
      <w:r w:rsidRPr="0052062D">
        <w:t>[Name]</w:t>
      </w:r>
    </w:p>
    <w:sectPr w:rsidR="003874DF" w:rsidRPr="0052062D" w:rsidSect="00154113">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50" w:rsidRDefault="00473D50" w:rsidP="00832DEE">
      <w:pPr>
        <w:spacing w:after="0" w:line="240" w:lineRule="auto"/>
      </w:pPr>
      <w:r>
        <w:separator/>
      </w:r>
    </w:p>
  </w:endnote>
  <w:endnote w:type="continuationSeparator" w:id="0">
    <w:p w:rsidR="00473D50" w:rsidRDefault="00473D50" w:rsidP="008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51" w:rsidRDefault="00944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D50" w:rsidRDefault="00473D50">
    <w:pPr>
      <w:pStyle w:val="Footer"/>
    </w:pPr>
    <w:r>
      <w:rPr>
        <w:noProof/>
      </w:rPr>
      <w:drawing>
        <wp:anchor distT="0" distB="0" distL="114300" distR="114300" simplePos="0" relativeHeight="251668480" behindDoc="0" locked="0" layoutInCell="1" allowOverlap="1" wp14:anchorId="05F42425" wp14:editId="021B6474">
          <wp:simplePos x="0" y="0"/>
          <wp:positionH relativeFrom="column">
            <wp:posOffset>4067175</wp:posOffset>
          </wp:positionH>
          <wp:positionV relativeFrom="paragraph">
            <wp:posOffset>-66675</wp:posOffset>
          </wp:positionV>
          <wp:extent cx="1898487" cy="50482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oP_Corp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487" cy="504825"/>
                  </a:xfrm>
                  <a:prstGeom prst="rect">
                    <a:avLst/>
                  </a:prstGeom>
                </pic:spPr>
              </pic:pic>
            </a:graphicData>
          </a:graphic>
        </wp:anchor>
      </w:drawing>
    </w:r>
    <w:r w:rsidR="00944C51">
      <w:rPr>
        <w:noProof/>
      </w:rPr>
      <w:t>MONTH BY MONTH EMAILS</w:t>
    </w:r>
    <w:r>
      <w:rPr>
        <w:noProof/>
      </w:rPr>
      <w:t xml:space="preserve"> D1</w:t>
    </w:r>
    <w:r>
      <w:t xml:space="preserve"> 10</w:t>
    </w:r>
    <w:r w:rsidR="00944C51">
      <w:t>31</w:t>
    </w:r>
    <w:r>
      <w:t>19</w:t>
    </w:r>
  </w:p>
  <w:p w:rsidR="00473D50" w:rsidRDefault="00473D50">
    <w:pPr>
      <w:pStyle w:val="Footer"/>
    </w:pP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51" w:rsidRDefault="00944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50" w:rsidRDefault="00473D50" w:rsidP="00832DEE">
      <w:pPr>
        <w:spacing w:after="0" w:line="240" w:lineRule="auto"/>
      </w:pPr>
      <w:r>
        <w:separator/>
      </w:r>
    </w:p>
  </w:footnote>
  <w:footnote w:type="continuationSeparator" w:id="0">
    <w:p w:rsidR="00473D50" w:rsidRDefault="00473D50" w:rsidP="0083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51" w:rsidRDefault="00944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51" w:rsidRDefault="00944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51" w:rsidRDefault="00944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3C3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4CDF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306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DEE2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BEB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00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986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FA1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EF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0FA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81FC5"/>
    <w:multiLevelType w:val="hybridMultilevel"/>
    <w:tmpl w:val="9FFE7F3E"/>
    <w:lvl w:ilvl="0" w:tplc="D032B8C8">
      <w:start w:val="1"/>
      <w:numFmt w:val="bullet"/>
      <w:pStyle w:val="List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324E"/>
    <w:multiLevelType w:val="hybridMultilevel"/>
    <w:tmpl w:val="9FE6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3542"/>
    <w:multiLevelType w:val="hybridMultilevel"/>
    <w:tmpl w:val="A4EE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B778F"/>
    <w:multiLevelType w:val="hybridMultilevel"/>
    <w:tmpl w:val="A78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23710"/>
    <w:multiLevelType w:val="multilevel"/>
    <w:tmpl w:val="37F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28"/>
    <w:rsid w:val="00005864"/>
    <w:rsid w:val="00020A61"/>
    <w:rsid w:val="00030440"/>
    <w:rsid w:val="000505E2"/>
    <w:rsid w:val="00053754"/>
    <w:rsid w:val="000616E9"/>
    <w:rsid w:val="00062250"/>
    <w:rsid w:val="00064E3A"/>
    <w:rsid w:val="00071DE9"/>
    <w:rsid w:val="00073204"/>
    <w:rsid w:val="000745B4"/>
    <w:rsid w:val="00077A47"/>
    <w:rsid w:val="00080432"/>
    <w:rsid w:val="000850E9"/>
    <w:rsid w:val="0009124D"/>
    <w:rsid w:val="000A70B6"/>
    <w:rsid w:val="000C7FCE"/>
    <w:rsid w:val="000D4E51"/>
    <w:rsid w:val="000E101F"/>
    <w:rsid w:val="000E1CF2"/>
    <w:rsid w:val="000E1ED5"/>
    <w:rsid w:val="000E29CE"/>
    <w:rsid w:val="000E37E7"/>
    <w:rsid w:val="000E6432"/>
    <w:rsid w:val="000F09E7"/>
    <w:rsid w:val="000F2A99"/>
    <w:rsid w:val="00107A38"/>
    <w:rsid w:val="00111227"/>
    <w:rsid w:val="0011138A"/>
    <w:rsid w:val="00116BEB"/>
    <w:rsid w:val="001247EB"/>
    <w:rsid w:val="00125C28"/>
    <w:rsid w:val="00127A19"/>
    <w:rsid w:val="00140B71"/>
    <w:rsid w:val="001448E1"/>
    <w:rsid w:val="00146F47"/>
    <w:rsid w:val="00154113"/>
    <w:rsid w:val="00180EFC"/>
    <w:rsid w:val="0018337D"/>
    <w:rsid w:val="001913EE"/>
    <w:rsid w:val="00193CCD"/>
    <w:rsid w:val="001A3D28"/>
    <w:rsid w:val="001B50C3"/>
    <w:rsid w:val="001D057C"/>
    <w:rsid w:val="001D6051"/>
    <w:rsid w:val="001E212A"/>
    <w:rsid w:val="00202422"/>
    <w:rsid w:val="0020516B"/>
    <w:rsid w:val="0020639E"/>
    <w:rsid w:val="00213DF4"/>
    <w:rsid w:val="00213F3D"/>
    <w:rsid w:val="00225F86"/>
    <w:rsid w:val="002471D0"/>
    <w:rsid w:val="00252955"/>
    <w:rsid w:val="00256494"/>
    <w:rsid w:val="00264DFE"/>
    <w:rsid w:val="00276A2E"/>
    <w:rsid w:val="00287246"/>
    <w:rsid w:val="002B0253"/>
    <w:rsid w:val="002B1AE5"/>
    <w:rsid w:val="002B20D0"/>
    <w:rsid w:val="002B70A8"/>
    <w:rsid w:val="002C2AD6"/>
    <w:rsid w:val="002C535E"/>
    <w:rsid w:val="002D3838"/>
    <w:rsid w:val="002E26EA"/>
    <w:rsid w:val="002E585F"/>
    <w:rsid w:val="002F4578"/>
    <w:rsid w:val="0031286B"/>
    <w:rsid w:val="00316D56"/>
    <w:rsid w:val="00316EF7"/>
    <w:rsid w:val="00341E6B"/>
    <w:rsid w:val="003512CF"/>
    <w:rsid w:val="00371D0D"/>
    <w:rsid w:val="003770C2"/>
    <w:rsid w:val="00380316"/>
    <w:rsid w:val="003874DF"/>
    <w:rsid w:val="00393188"/>
    <w:rsid w:val="0039498F"/>
    <w:rsid w:val="003B38D6"/>
    <w:rsid w:val="003E0545"/>
    <w:rsid w:val="003F46E2"/>
    <w:rsid w:val="00401D59"/>
    <w:rsid w:val="00406EFA"/>
    <w:rsid w:val="00416105"/>
    <w:rsid w:val="00422D30"/>
    <w:rsid w:val="00430E87"/>
    <w:rsid w:val="00431622"/>
    <w:rsid w:val="004345B7"/>
    <w:rsid w:val="00436D06"/>
    <w:rsid w:val="00444440"/>
    <w:rsid w:val="00454175"/>
    <w:rsid w:val="0046436C"/>
    <w:rsid w:val="00470E18"/>
    <w:rsid w:val="00472350"/>
    <w:rsid w:val="00473D50"/>
    <w:rsid w:val="004747DB"/>
    <w:rsid w:val="00476F8E"/>
    <w:rsid w:val="00477C6E"/>
    <w:rsid w:val="00481B1C"/>
    <w:rsid w:val="00490482"/>
    <w:rsid w:val="004928B6"/>
    <w:rsid w:val="004951D0"/>
    <w:rsid w:val="00496CFC"/>
    <w:rsid w:val="004A7BA6"/>
    <w:rsid w:val="004C0AA3"/>
    <w:rsid w:val="004D6984"/>
    <w:rsid w:val="004E201F"/>
    <w:rsid w:val="004F0346"/>
    <w:rsid w:val="004F2745"/>
    <w:rsid w:val="00503686"/>
    <w:rsid w:val="00504F48"/>
    <w:rsid w:val="00512A61"/>
    <w:rsid w:val="005211D6"/>
    <w:rsid w:val="00530A91"/>
    <w:rsid w:val="00531205"/>
    <w:rsid w:val="005363E5"/>
    <w:rsid w:val="00536EAF"/>
    <w:rsid w:val="005447CE"/>
    <w:rsid w:val="0054637A"/>
    <w:rsid w:val="0056065E"/>
    <w:rsid w:val="0056675D"/>
    <w:rsid w:val="005707A9"/>
    <w:rsid w:val="005752FE"/>
    <w:rsid w:val="0058344E"/>
    <w:rsid w:val="0059347E"/>
    <w:rsid w:val="005940C0"/>
    <w:rsid w:val="0059432E"/>
    <w:rsid w:val="005A60AC"/>
    <w:rsid w:val="005B4DFF"/>
    <w:rsid w:val="005C33A9"/>
    <w:rsid w:val="005D13CF"/>
    <w:rsid w:val="005D65BB"/>
    <w:rsid w:val="005E1C8D"/>
    <w:rsid w:val="005E4772"/>
    <w:rsid w:val="005F1687"/>
    <w:rsid w:val="005F38D8"/>
    <w:rsid w:val="0060087C"/>
    <w:rsid w:val="00603691"/>
    <w:rsid w:val="006121A1"/>
    <w:rsid w:val="00613A3F"/>
    <w:rsid w:val="00614373"/>
    <w:rsid w:val="00633F59"/>
    <w:rsid w:val="00642CBE"/>
    <w:rsid w:val="00646B2F"/>
    <w:rsid w:val="00647983"/>
    <w:rsid w:val="00654044"/>
    <w:rsid w:val="00657F57"/>
    <w:rsid w:val="00666F13"/>
    <w:rsid w:val="00667F1C"/>
    <w:rsid w:val="00670A66"/>
    <w:rsid w:val="00670CD6"/>
    <w:rsid w:val="00672082"/>
    <w:rsid w:val="00673482"/>
    <w:rsid w:val="00675F51"/>
    <w:rsid w:val="00680FEC"/>
    <w:rsid w:val="006862E6"/>
    <w:rsid w:val="00686765"/>
    <w:rsid w:val="0069022B"/>
    <w:rsid w:val="0069040A"/>
    <w:rsid w:val="00693662"/>
    <w:rsid w:val="0069376A"/>
    <w:rsid w:val="006A45D7"/>
    <w:rsid w:val="006B5812"/>
    <w:rsid w:val="006B5B7D"/>
    <w:rsid w:val="006B7883"/>
    <w:rsid w:val="006C2CAD"/>
    <w:rsid w:val="006D0963"/>
    <w:rsid w:val="006D585E"/>
    <w:rsid w:val="006E7F3E"/>
    <w:rsid w:val="006E7FE9"/>
    <w:rsid w:val="006F34C7"/>
    <w:rsid w:val="00710A17"/>
    <w:rsid w:val="00711E70"/>
    <w:rsid w:val="00713D57"/>
    <w:rsid w:val="0071739B"/>
    <w:rsid w:val="0072086E"/>
    <w:rsid w:val="0072353F"/>
    <w:rsid w:val="007263AC"/>
    <w:rsid w:val="00733FD9"/>
    <w:rsid w:val="007465B3"/>
    <w:rsid w:val="007643F9"/>
    <w:rsid w:val="00766CB3"/>
    <w:rsid w:val="00770B67"/>
    <w:rsid w:val="00776026"/>
    <w:rsid w:val="00783E26"/>
    <w:rsid w:val="007A17C3"/>
    <w:rsid w:val="007B29A0"/>
    <w:rsid w:val="007C250D"/>
    <w:rsid w:val="007C7FA7"/>
    <w:rsid w:val="007E0E63"/>
    <w:rsid w:val="007E2C36"/>
    <w:rsid w:val="007F1EF0"/>
    <w:rsid w:val="007F1EF2"/>
    <w:rsid w:val="008032F6"/>
    <w:rsid w:val="00805367"/>
    <w:rsid w:val="00806AA1"/>
    <w:rsid w:val="00813963"/>
    <w:rsid w:val="00820D8E"/>
    <w:rsid w:val="0082280E"/>
    <w:rsid w:val="00822F9B"/>
    <w:rsid w:val="008244BB"/>
    <w:rsid w:val="00832DEE"/>
    <w:rsid w:val="0083366E"/>
    <w:rsid w:val="008344EE"/>
    <w:rsid w:val="00857379"/>
    <w:rsid w:val="008636CF"/>
    <w:rsid w:val="008761F2"/>
    <w:rsid w:val="00877A8E"/>
    <w:rsid w:val="00880AFB"/>
    <w:rsid w:val="00880B7D"/>
    <w:rsid w:val="00881A8B"/>
    <w:rsid w:val="0088311F"/>
    <w:rsid w:val="0089284D"/>
    <w:rsid w:val="008947BB"/>
    <w:rsid w:val="00897A42"/>
    <w:rsid w:val="008A5E0E"/>
    <w:rsid w:val="008B24C2"/>
    <w:rsid w:val="008D065C"/>
    <w:rsid w:val="008D0962"/>
    <w:rsid w:val="008D1665"/>
    <w:rsid w:val="008D410C"/>
    <w:rsid w:val="008E5921"/>
    <w:rsid w:val="008E5BC3"/>
    <w:rsid w:val="009369D5"/>
    <w:rsid w:val="00940436"/>
    <w:rsid w:val="00942E23"/>
    <w:rsid w:val="00944C51"/>
    <w:rsid w:val="00945E5B"/>
    <w:rsid w:val="00950AAB"/>
    <w:rsid w:val="009550B0"/>
    <w:rsid w:val="00957197"/>
    <w:rsid w:val="0095797B"/>
    <w:rsid w:val="00961E28"/>
    <w:rsid w:val="0096599C"/>
    <w:rsid w:val="00981CBF"/>
    <w:rsid w:val="009914A2"/>
    <w:rsid w:val="009A01F2"/>
    <w:rsid w:val="009A163F"/>
    <w:rsid w:val="009A17F4"/>
    <w:rsid w:val="009A71B0"/>
    <w:rsid w:val="009B6916"/>
    <w:rsid w:val="009D6D88"/>
    <w:rsid w:val="009F119A"/>
    <w:rsid w:val="009F6C22"/>
    <w:rsid w:val="00A00439"/>
    <w:rsid w:val="00A040CB"/>
    <w:rsid w:val="00A22884"/>
    <w:rsid w:val="00A24726"/>
    <w:rsid w:val="00A24EFD"/>
    <w:rsid w:val="00A30793"/>
    <w:rsid w:val="00A4136D"/>
    <w:rsid w:val="00A52980"/>
    <w:rsid w:val="00A615BC"/>
    <w:rsid w:val="00A709FE"/>
    <w:rsid w:val="00A83968"/>
    <w:rsid w:val="00A83CD7"/>
    <w:rsid w:val="00A85189"/>
    <w:rsid w:val="00A863CE"/>
    <w:rsid w:val="00A87409"/>
    <w:rsid w:val="00A87CF2"/>
    <w:rsid w:val="00A9030A"/>
    <w:rsid w:val="00A93A92"/>
    <w:rsid w:val="00AA2662"/>
    <w:rsid w:val="00AA6E8C"/>
    <w:rsid w:val="00AB2F40"/>
    <w:rsid w:val="00AB5AA5"/>
    <w:rsid w:val="00AB60BA"/>
    <w:rsid w:val="00AC1F12"/>
    <w:rsid w:val="00AC58C9"/>
    <w:rsid w:val="00AC76C6"/>
    <w:rsid w:val="00AD6B18"/>
    <w:rsid w:val="00AE2B81"/>
    <w:rsid w:val="00AE5084"/>
    <w:rsid w:val="00AF5471"/>
    <w:rsid w:val="00B01873"/>
    <w:rsid w:val="00B44059"/>
    <w:rsid w:val="00B4431E"/>
    <w:rsid w:val="00B555FA"/>
    <w:rsid w:val="00B62C8F"/>
    <w:rsid w:val="00B72DCB"/>
    <w:rsid w:val="00B756B3"/>
    <w:rsid w:val="00B76DAF"/>
    <w:rsid w:val="00B81E32"/>
    <w:rsid w:val="00B83B8F"/>
    <w:rsid w:val="00B84131"/>
    <w:rsid w:val="00B92148"/>
    <w:rsid w:val="00B927E5"/>
    <w:rsid w:val="00BA155F"/>
    <w:rsid w:val="00BA6E8C"/>
    <w:rsid w:val="00BB5FA3"/>
    <w:rsid w:val="00BC5CD4"/>
    <w:rsid w:val="00BE1CED"/>
    <w:rsid w:val="00BE362C"/>
    <w:rsid w:val="00BE7343"/>
    <w:rsid w:val="00BF0E85"/>
    <w:rsid w:val="00BF1B1F"/>
    <w:rsid w:val="00BF3340"/>
    <w:rsid w:val="00C01829"/>
    <w:rsid w:val="00C024AE"/>
    <w:rsid w:val="00C03C99"/>
    <w:rsid w:val="00C0543D"/>
    <w:rsid w:val="00C12234"/>
    <w:rsid w:val="00C123FC"/>
    <w:rsid w:val="00C15392"/>
    <w:rsid w:val="00C334F7"/>
    <w:rsid w:val="00C41B7F"/>
    <w:rsid w:val="00C43933"/>
    <w:rsid w:val="00C43CD0"/>
    <w:rsid w:val="00C4414C"/>
    <w:rsid w:val="00C53228"/>
    <w:rsid w:val="00C53BC1"/>
    <w:rsid w:val="00C6570F"/>
    <w:rsid w:val="00C67471"/>
    <w:rsid w:val="00C77F26"/>
    <w:rsid w:val="00C81281"/>
    <w:rsid w:val="00C8184A"/>
    <w:rsid w:val="00CA0B9D"/>
    <w:rsid w:val="00CA151B"/>
    <w:rsid w:val="00CA456C"/>
    <w:rsid w:val="00CA4FCB"/>
    <w:rsid w:val="00CA60B5"/>
    <w:rsid w:val="00CB2208"/>
    <w:rsid w:val="00CC6B4F"/>
    <w:rsid w:val="00CC73CB"/>
    <w:rsid w:val="00CD32EC"/>
    <w:rsid w:val="00D00967"/>
    <w:rsid w:val="00D10F6D"/>
    <w:rsid w:val="00D22F14"/>
    <w:rsid w:val="00D26D7D"/>
    <w:rsid w:val="00D429E5"/>
    <w:rsid w:val="00D466AC"/>
    <w:rsid w:val="00D51D95"/>
    <w:rsid w:val="00D51FF9"/>
    <w:rsid w:val="00D56173"/>
    <w:rsid w:val="00D6524D"/>
    <w:rsid w:val="00D657B4"/>
    <w:rsid w:val="00D70EB2"/>
    <w:rsid w:val="00D8271B"/>
    <w:rsid w:val="00D82A07"/>
    <w:rsid w:val="00DA1092"/>
    <w:rsid w:val="00DA772F"/>
    <w:rsid w:val="00DB6F36"/>
    <w:rsid w:val="00DC0B78"/>
    <w:rsid w:val="00DD4E30"/>
    <w:rsid w:val="00DE211E"/>
    <w:rsid w:val="00E04A90"/>
    <w:rsid w:val="00E32AEE"/>
    <w:rsid w:val="00E3523F"/>
    <w:rsid w:val="00E50F24"/>
    <w:rsid w:val="00E65862"/>
    <w:rsid w:val="00E80988"/>
    <w:rsid w:val="00E90A18"/>
    <w:rsid w:val="00E9421A"/>
    <w:rsid w:val="00E9494A"/>
    <w:rsid w:val="00EC09DD"/>
    <w:rsid w:val="00EC307D"/>
    <w:rsid w:val="00EC37A9"/>
    <w:rsid w:val="00EC47E0"/>
    <w:rsid w:val="00ED257D"/>
    <w:rsid w:val="00ED2795"/>
    <w:rsid w:val="00EE6B6D"/>
    <w:rsid w:val="00F040F0"/>
    <w:rsid w:val="00F07F91"/>
    <w:rsid w:val="00F16871"/>
    <w:rsid w:val="00F17F93"/>
    <w:rsid w:val="00F31C65"/>
    <w:rsid w:val="00F42E65"/>
    <w:rsid w:val="00F852F3"/>
    <w:rsid w:val="00F90502"/>
    <w:rsid w:val="00FA3126"/>
    <w:rsid w:val="00FB65AE"/>
    <w:rsid w:val="00FB6A12"/>
    <w:rsid w:val="00FC0C61"/>
    <w:rsid w:val="00FD14CC"/>
    <w:rsid w:val="00FD1859"/>
    <w:rsid w:val="00FD1CA6"/>
    <w:rsid w:val="00FD1FB3"/>
    <w:rsid w:val="00FD34DC"/>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036331D"/>
  <w15:chartTrackingRefBased/>
  <w15:docId w15:val="{867A4567-AFA5-47CD-84F3-B490C09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57"/>
  </w:style>
  <w:style w:type="paragraph" w:styleId="Heading1">
    <w:name w:val="heading 1"/>
    <w:basedOn w:val="Heading2"/>
    <w:next w:val="Normal"/>
    <w:link w:val="Heading1Char"/>
    <w:uiPriority w:val="9"/>
    <w:qFormat/>
    <w:rsid w:val="006A45D7"/>
    <w:pPr>
      <w:outlineLvl w:val="0"/>
    </w:pPr>
    <w:rPr>
      <w:sz w:val="32"/>
      <w:szCs w:val="32"/>
    </w:rPr>
  </w:style>
  <w:style w:type="paragraph" w:styleId="Heading2">
    <w:name w:val="heading 2"/>
    <w:basedOn w:val="Normal"/>
    <w:next w:val="Normal"/>
    <w:link w:val="Heading2Char"/>
    <w:uiPriority w:val="9"/>
    <w:unhideWhenUsed/>
    <w:qFormat/>
    <w:rsid w:val="00341E6B"/>
    <w:pPr>
      <w:spacing w:after="0" w:line="240" w:lineRule="auto"/>
      <w:outlineLvl w:val="1"/>
    </w:pPr>
    <w:rPr>
      <w:rFonts w:asciiTheme="majorHAnsi" w:hAnsiTheme="majorHAnsi" w:cs="Times New Roman"/>
      <w:b/>
      <w:color w:val="003276"/>
      <w:sz w:val="28"/>
      <w:szCs w:val="28"/>
    </w:rPr>
  </w:style>
  <w:style w:type="paragraph" w:styleId="Heading3">
    <w:name w:val="heading 3"/>
    <w:basedOn w:val="Heading2"/>
    <w:next w:val="Normal"/>
    <w:link w:val="Heading3Char"/>
    <w:uiPriority w:val="9"/>
    <w:unhideWhenUsed/>
    <w:qFormat/>
    <w:rsid w:val="006A45D7"/>
    <w:pPr>
      <w:outlineLvl w:val="2"/>
    </w:pPr>
    <w:rPr>
      <w:sz w:val="22"/>
      <w:szCs w:val="22"/>
    </w:rPr>
  </w:style>
  <w:style w:type="paragraph" w:styleId="Heading4">
    <w:name w:val="heading 4"/>
    <w:basedOn w:val="Heading1"/>
    <w:next w:val="Normal"/>
    <w:link w:val="Heading4Char"/>
    <w:uiPriority w:val="9"/>
    <w:unhideWhenUsed/>
    <w:qFormat/>
    <w:rsid w:val="00E3523F"/>
    <w:pPr>
      <w:pBdr>
        <w:bottom w:val="single" w:sz="4" w:space="1" w:color="auto"/>
      </w:pBdr>
      <w:spacing w:before="240" w:after="120"/>
      <w:outlineLvl w:val="3"/>
    </w:pPr>
    <w:rPr>
      <w:rFonts w:asciiTheme="minorHAnsi" w:hAnsiTheme="minorHAnsi"/>
      <w:b w:val="0"/>
      <w:sz w:val="26"/>
      <w:szCs w:val="24"/>
    </w:rPr>
  </w:style>
  <w:style w:type="paragraph" w:styleId="Heading5">
    <w:name w:val="heading 5"/>
    <w:basedOn w:val="Normal"/>
    <w:next w:val="Normal"/>
    <w:link w:val="Heading5Char"/>
    <w:uiPriority w:val="9"/>
    <w:unhideWhenUsed/>
    <w:qFormat/>
    <w:rsid w:val="002E26EA"/>
    <w:pPr>
      <w:outlineLvl w:val="4"/>
    </w:pPr>
    <w:rPr>
      <w:b/>
    </w:rPr>
  </w:style>
  <w:style w:type="paragraph" w:styleId="Heading6">
    <w:name w:val="heading 6"/>
    <w:basedOn w:val="Normal"/>
    <w:next w:val="Normal"/>
    <w:link w:val="Heading6Char"/>
    <w:uiPriority w:val="9"/>
    <w:unhideWhenUsed/>
    <w:qFormat/>
    <w:rsid w:val="00944C5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7"/>
    <w:pPr>
      <w:ind w:left="720"/>
      <w:contextualSpacing/>
    </w:pPr>
  </w:style>
  <w:style w:type="character" w:customStyle="1" w:styleId="Heading1Char">
    <w:name w:val="Heading 1 Char"/>
    <w:basedOn w:val="DefaultParagraphFont"/>
    <w:link w:val="Heading1"/>
    <w:uiPriority w:val="9"/>
    <w:rsid w:val="006A45D7"/>
    <w:rPr>
      <w:rFonts w:asciiTheme="majorHAnsi" w:hAnsiTheme="majorHAnsi" w:cs="Times New Roman"/>
      <w:b/>
      <w:color w:val="003276"/>
      <w:sz w:val="32"/>
      <w:szCs w:val="32"/>
    </w:rPr>
  </w:style>
  <w:style w:type="paragraph" w:styleId="BodyText">
    <w:name w:val="Body Text"/>
    <w:basedOn w:val="Normal"/>
    <w:link w:val="BodyTextChar"/>
    <w:uiPriority w:val="99"/>
    <w:unhideWhenUsed/>
    <w:qFormat/>
    <w:rsid w:val="00945E5B"/>
    <w:pPr>
      <w:spacing w:before="120" w:after="120" w:line="240" w:lineRule="auto"/>
    </w:pPr>
    <w:rPr>
      <w:rFonts w:asciiTheme="majorHAnsi" w:hAnsiTheme="majorHAnsi" w:cs="Times New Roman"/>
      <w:szCs w:val="24"/>
    </w:rPr>
  </w:style>
  <w:style w:type="character" w:customStyle="1" w:styleId="BodyTextChar">
    <w:name w:val="Body Text Char"/>
    <w:basedOn w:val="DefaultParagraphFont"/>
    <w:link w:val="BodyText"/>
    <w:uiPriority w:val="99"/>
    <w:rsid w:val="00945E5B"/>
    <w:rPr>
      <w:rFonts w:asciiTheme="majorHAnsi" w:hAnsiTheme="majorHAnsi" w:cs="Times New Roman"/>
      <w:szCs w:val="24"/>
    </w:rPr>
  </w:style>
  <w:style w:type="character" w:customStyle="1" w:styleId="A6">
    <w:name w:val="A6"/>
    <w:uiPriority w:val="99"/>
    <w:rsid w:val="001B50C3"/>
    <w:rPr>
      <w:rFonts w:cs="HelveticaNeueLT Std"/>
      <w:color w:val="221E1F"/>
      <w:sz w:val="19"/>
      <w:szCs w:val="19"/>
    </w:rPr>
  </w:style>
  <w:style w:type="paragraph" w:styleId="ListBullet">
    <w:name w:val="List Bullet"/>
    <w:basedOn w:val="Normal"/>
    <w:uiPriority w:val="99"/>
    <w:unhideWhenUsed/>
    <w:qFormat/>
    <w:rsid w:val="00BA6E8C"/>
    <w:pPr>
      <w:numPr>
        <w:numId w:val="3"/>
      </w:numPr>
      <w:spacing w:before="60" w:after="60" w:line="240" w:lineRule="auto"/>
      <w:contextualSpacing/>
    </w:pPr>
    <w:rPr>
      <w:rFonts w:asciiTheme="majorHAnsi" w:hAnsiTheme="majorHAnsi" w:cstheme="minorHAnsi"/>
    </w:rPr>
  </w:style>
  <w:style w:type="paragraph" w:styleId="ListBullet2">
    <w:name w:val="List Bullet 2"/>
    <w:basedOn w:val="Normal"/>
    <w:uiPriority w:val="99"/>
    <w:unhideWhenUsed/>
    <w:rsid w:val="00857379"/>
    <w:pPr>
      <w:numPr>
        <w:numId w:val="13"/>
      </w:numPr>
      <w:spacing w:before="60" w:after="60" w:line="240" w:lineRule="auto"/>
      <w:contextualSpacing/>
    </w:pPr>
    <w:rPr>
      <w:rFonts w:ascii="Times New Roman" w:hAnsi="Times New Roman" w:cs="Times New Roman"/>
    </w:rPr>
  </w:style>
  <w:style w:type="character" w:customStyle="1" w:styleId="Heading2Char">
    <w:name w:val="Heading 2 Char"/>
    <w:basedOn w:val="DefaultParagraphFont"/>
    <w:link w:val="Heading2"/>
    <w:uiPriority w:val="9"/>
    <w:rsid w:val="00341E6B"/>
    <w:rPr>
      <w:rFonts w:asciiTheme="majorHAnsi" w:hAnsiTheme="majorHAnsi" w:cs="Times New Roman"/>
      <w:b/>
      <w:color w:val="003276"/>
      <w:sz w:val="28"/>
      <w:szCs w:val="28"/>
    </w:rPr>
  </w:style>
  <w:style w:type="paragraph" w:styleId="Header">
    <w:name w:val="header"/>
    <w:basedOn w:val="Heading1"/>
    <w:link w:val="HeaderChar"/>
    <w:uiPriority w:val="99"/>
    <w:unhideWhenUsed/>
    <w:rsid w:val="00A93A92"/>
    <w:rPr>
      <w:sz w:val="44"/>
      <w:szCs w:val="44"/>
    </w:rPr>
  </w:style>
  <w:style w:type="character" w:customStyle="1" w:styleId="HeaderChar">
    <w:name w:val="Header Char"/>
    <w:basedOn w:val="DefaultParagraphFont"/>
    <w:link w:val="Header"/>
    <w:uiPriority w:val="99"/>
    <w:rsid w:val="00A93A92"/>
    <w:rPr>
      <w:rFonts w:asciiTheme="majorHAnsi" w:hAnsiTheme="majorHAnsi" w:cs="Times New Roman"/>
      <w:b/>
      <w:color w:val="003276"/>
      <w:sz w:val="44"/>
      <w:szCs w:val="44"/>
    </w:rPr>
  </w:style>
  <w:style w:type="paragraph" w:styleId="Footer">
    <w:name w:val="footer"/>
    <w:basedOn w:val="Normal"/>
    <w:link w:val="FooterChar"/>
    <w:uiPriority w:val="99"/>
    <w:unhideWhenUsed/>
    <w:rsid w:val="00832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EE"/>
  </w:style>
  <w:style w:type="character" w:styleId="Hyperlink">
    <w:name w:val="Hyperlink"/>
    <w:basedOn w:val="DefaultParagraphFont"/>
    <w:uiPriority w:val="99"/>
    <w:unhideWhenUsed/>
    <w:rsid w:val="00C41B7F"/>
    <w:rPr>
      <w:color w:val="0563C1" w:themeColor="hyperlink"/>
      <w:u w:val="single"/>
    </w:rPr>
  </w:style>
  <w:style w:type="character" w:styleId="FollowedHyperlink">
    <w:name w:val="FollowedHyperlink"/>
    <w:basedOn w:val="DefaultParagraphFont"/>
    <w:uiPriority w:val="99"/>
    <w:semiHidden/>
    <w:unhideWhenUsed/>
    <w:rsid w:val="00C15392"/>
    <w:rPr>
      <w:color w:val="954F72" w:themeColor="followedHyperlink"/>
      <w:u w:val="single"/>
    </w:rPr>
  </w:style>
  <w:style w:type="character" w:customStyle="1" w:styleId="Heading3Char">
    <w:name w:val="Heading 3 Char"/>
    <w:basedOn w:val="DefaultParagraphFont"/>
    <w:link w:val="Heading3"/>
    <w:uiPriority w:val="9"/>
    <w:rsid w:val="006A45D7"/>
    <w:rPr>
      <w:rFonts w:asciiTheme="majorHAnsi" w:hAnsiTheme="majorHAnsi" w:cs="Times New Roman"/>
      <w:b/>
      <w:color w:val="003276"/>
    </w:rPr>
  </w:style>
  <w:style w:type="table" w:styleId="TableGrid">
    <w:name w:val="Table Grid"/>
    <w:basedOn w:val="TableNormal"/>
    <w:uiPriority w:val="39"/>
    <w:rsid w:val="009D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0A66"/>
    <w:rPr>
      <w:rFonts w:ascii="Times New Roman" w:hAnsi="Times New Roman" w:cs="Times New Roman"/>
      <w:i/>
      <w:sz w:val="26"/>
      <w:szCs w:val="28"/>
    </w:rPr>
  </w:style>
  <w:style w:type="character" w:customStyle="1" w:styleId="SubtitleChar">
    <w:name w:val="Subtitle Char"/>
    <w:basedOn w:val="DefaultParagraphFont"/>
    <w:link w:val="Subtitle"/>
    <w:uiPriority w:val="11"/>
    <w:rsid w:val="00670A66"/>
    <w:rPr>
      <w:rFonts w:ascii="Times New Roman" w:hAnsi="Times New Roman" w:cs="Times New Roman"/>
      <w:i/>
      <w:sz w:val="26"/>
      <w:szCs w:val="28"/>
    </w:rPr>
  </w:style>
  <w:style w:type="paragraph" w:styleId="NormalWeb">
    <w:name w:val="Normal (Web)"/>
    <w:basedOn w:val="Normal"/>
    <w:uiPriority w:val="99"/>
    <w:unhideWhenUsed/>
    <w:rsid w:val="0095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523F"/>
    <w:rPr>
      <w:rFonts w:cs="Times New Roman"/>
      <w:b/>
      <w:sz w:val="26"/>
      <w:szCs w:val="24"/>
    </w:rPr>
  </w:style>
  <w:style w:type="character" w:customStyle="1" w:styleId="Heading5Char">
    <w:name w:val="Heading 5 Char"/>
    <w:basedOn w:val="DefaultParagraphFont"/>
    <w:link w:val="Heading5"/>
    <w:uiPriority w:val="9"/>
    <w:rsid w:val="002E26EA"/>
    <w:rPr>
      <w:b/>
    </w:rPr>
  </w:style>
  <w:style w:type="paragraph" w:styleId="BalloonText">
    <w:name w:val="Balloon Text"/>
    <w:basedOn w:val="Normal"/>
    <w:link w:val="BalloonTextChar"/>
    <w:uiPriority w:val="99"/>
    <w:semiHidden/>
    <w:unhideWhenUsed/>
    <w:rsid w:val="0069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0A"/>
    <w:rPr>
      <w:rFonts w:ascii="Segoe UI" w:hAnsi="Segoe UI" w:cs="Segoe UI"/>
      <w:sz w:val="18"/>
      <w:szCs w:val="18"/>
    </w:rPr>
  </w:style>
  <w:style w:type="paragraph" w:styleId="BodyText2">
    <w:name w:val="Body Text 2"/>
    <w:basedOn w:val="Normal"/>
    <w:link w:val="BodyText2Char"/>
    <w:uiPriority w:val="99"/>
    <w:unhideWhenUsed/>
    <w:rsid w:val="000F09E7"/>
    <w:pPr>
      <w:spacing w:after="0" w:line="240" w:lineRule="auto"/>
    </w:pPr>
    <w:rPr>
      <w:rFonts w:asciiTheme="majorHAnsi" w:hAnsiTheme="majorHAnsi"/>
    </w:rPr>
  </w:style>
  <w:style w:type="character" w:customStyle="1" w:styleId="BodyText2Char">
    <w:name w:val="Body Text 2 Char"/>
    <w:basedOn w:val="DefaultParagraphFont"/>
    <w:link w:val="BodyText2"/>
    <w:uiPriority w:val="99"/>
    <w:rsid w:val="000F09E7"/>
    <w:rPr>
      <w:rFonts w:asciiTheme="majorHAnsi" w:hAnsiTheme="majorHAnsi"/>
    </w:rPr>
  </w:style>
  <w:style w:type="character" w:styleId="UnresolvedMention">
    <w:name w:val="Unresolved Mention"/>
    <w:basedOn w:val="DefaultParagraphFont"/>
    <w:uiPriority w:val="99"/>
    <w:semiHidden/>
    <w:unhideWhenUsed/>
    <w:rsid w:val="00140B71"/>
    <w:rPr>
      <w:color w:val="605E5C"/>
      <w:shd w:val="clear" w:color="auto" w:fill="E1DFDD"/>
    </w:rPr>
  </w:style>
  <w:style w:type="character" w:customStyle="1" w:styleId="Heading6Char">
    <w:name w:val="Heading 6 Char"/>
    <w:basedOn w:val="DefaultParagraphFont"/>
    <w:link w:val="Heading6"/>
    <w:uiPriority w:val="9"/>
    <w:rsid w:val="00944C5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2817">
      <w:bodyDiv w:val="1"/>
      <w:marLeft w:val="0"/>
      <w:marRight w:val="0"/>
      <w:marTop w:val="0"/>
      <w:marBottom w:val="0"/>
      <w:divBdr>
        <w:top w:val="none" w:sz="0" w:space="0" w:color="auto"/>
        <w:left w:val="none" w:sz="0" w:space="0" w:color="auto"/>
        <w:bottom w:val="none" w:sz="0" w:space="0" w:color="auto"/>
        <w:right w:val="none" w:sz="0" w:space="0" w:color="auto"/>
      </w:divBdr>
      <w:divsChild>
        <w:div w:id="954558289">
          <w:marLeft w:val="0"/>
          <w:marRight w:val="0"/>
          <w:marTop w:val="0"/>
          <w:marBottom w:val="0"/>
          <w:divBdr>
            <w:top w:val="none" w:sz="0" w:space="0" w:color="auto"/>
            <w:left w:val="none" w:sz="0" w:space="0" w:color="auto"/>
            <w:bottom w:val="none" w:sz="0" w:space="0" w:color="auto"/>
            <w:right w:val="none" w:sz="0" w:space="0" w:color="auto"/>
          </w:divBdr>
          <w:divsChild>
            <w:div w:id="2112508578">
              <w:marLeft w:val="0"/>
              <w:marRight w:val="0"/>
              <w:marTop w:val="0"/>
              <w:marBottom w:val="0"/>
              <w:divBdr>
                <w:top w:val="none" w:sz="0" w:space="0" w:color="auto"/>
                <w:left w:val="none" w:sz="0" w:space="0" w:color="auto"/>
                <w:bottom w:val="none" w:sz="0" w:space="0" w:color="auto"/>
                <w:right w:val="none" w:sz="0" w:space="0" w:color="auto"/>
              </w:divBdr>
              <w:divsChild>
                <w:div w:id="587882536">
                  <w:marLeft w:val="0"/>
                  <w:marRight w:val="0"/>
                  <w:marTop w:val="0"/>
                  <w:marBottom w:val="0"/>
                  <w:divBdr>
                    <w:top w:val="none" w:sz="0" w:space="0" w:color="auto"/>
                    <w:left w:val="none" w:sz="0" w:space="0" w:color="auto"/>
                    <w:bottom w:val="none" w:sz="0" w:space="0" w:color="auto"/>
                    <w:right w:val="none" w:sz="0" w:space="0" w:color="auto"/>
                  </w:divBdr>
                  <w:divsChild>
                    <w:div w:id="587889553">
                      <w:marLeft w:val="0"/>
                      <w:marRight w:val="0"/>
                      <w:marTop w:val="0"/>
                      <w:marBottom w:val="0"/>
                      <w:divBdr>
                        <w:top w:val="none" w:sz="0" w:space="0" w:color="auto"/>
                        <w:left w:val="none" w:sz="0" w:space="0" w:color="auto"/>
                        <w:bottom w:val="none" w:sz="0" w:space="0" w:color="auto"/>
                        <w:right w:val="none" w:sz="0" w:space="0" w:color="auto"/>
                      </w:divBdr>
                      <w:divsChild>
                        <w:div w:id="1701466635">
                          <w:marLeft w:val="0"/>
                          <w:marRight w:val="0"/>
                          <w:marTop w:val="0"/>
                          <w:marBottom w:val="0"/>
                          <w:divBdr>
                            <w:top w:val="none" w:sz="0" w:space="0" w:color="auto"/>
                            <w:left w:val="none" w:sz="0" w:space="0" w:color="auto"/>
                            <w:bottom w:val="none" w:sz="0" w:space="0" w:color="auto"/>
                            <w:right w:val="none" w:sz="0" w:space="0" w:color="auto"/>
                          </w:divBdr>
                          <w:divsChild>
                            <w:div w:id="11493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ericasavesweek.org/" TargetMode="External"/><Relationship Id="rId18" Type="http://schemas.openxmlformats.org/officeDocument/2006/relationships/hyperlink" Target="http://www.pensions.org/news-and-events/articles/Focus-on-healthy-eating-habits-during-National-Nutrition-Month" TargetMode="External"/><Relationship Id="rId26" Type="http://schemas.openxmlformats.org/officeDocument/2006/relationships/hyperlink" Target="http://www.pensions.org/news-and-events/articles/Updating-beneficiaries-is-an-important-part-of-financial-planning" TargetMode="External"/><Relationship Id="rId39" Type="http://schemas.openxmlformats.org/officeDocument/2006/relationships/hyperlink" Target="https://www.pensions.org/news-and-events/articles/Benefits-Connect-It%E2%80%99s-not-just-for-annual-enrollment" TargetMode="External"/><Relationship Id="rId21" Type="http://schemas.openxmlformats.org/officeDocument/2006/relationships/hyperlink" Target="https://www.pensions.org/what-we-offer/our-plans/medical-plan/teladoc" TargetMode="External"/><Relationship Id="rId34" Type="http://schemas.openxmlformats.org/officeDocument/2006/relationships/hyperlink" Target="https://calltohealth.limeade.com/brandedlogin.aspx?e=BoardOfPensions" TargetMode="External"/><Relationship Id="rId42" Type="http://schemas.openxmlformats.org/officeDocument/2006/relationships/hyperlink" Target="http://www.pensions.org/file/what-we-offer/benefits-guidance/forms-documents/Documents/RSP_PCUSA_Fidelity.pdf/" TargetMode="External"/><Relationship Id="rId47" Type="http://schemas.openxmlformats.org/officeDocument/2006/relationships/hyperlink" Target="http://www.pensions.org/what-we-offer/benefits-guidance/prescription-drug-benefits" TargetMode="External"/><Relationship Id="rId50" Type="http://schemas.openxmlformats.org/officeDocument/2006/relationships/hyperlink" Target="https://www.pensions.org/news-and-events/articles/Six-ways-to-lower-your-prescription-cost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delity.com/viewpoints/retirement/save-more" TargetMode="External"/><Relationship Id="rId29" Type="http://schemas.openxmlformats.org/officeDocument/2006/relationships/hyperlink" Target="https://www.pensions.org/what-we-offer/benefits-guidance/dental-coverage/How-it-works" TargetMode="External"/><Relationship Id="rId11" Type="http://schemas.openxmlformats.org/officeDocument/2006/relationships/hyperlink" Target="http://www.pensions.org/what-we-offer/benefits-guidance/medical-benefits/Health-savings-account" TargetMode="External"/><Relationship Id="rId24" Type="http://schemas.openxmlformats.org/officeDocument/2006/relationships/hyperlink" Target="https://www.fidelity.com/viewpoints/personal-finance/save-for-an-emergency" TargetMode="External"/><Relationship Id="rId32" Type="http://schemas.openxmlformats.org/officeDocument/2006/relationships/hyperlink" Target="http://www.pensions.org/what-we-offer/benefits-guidance/medical-benefits/Employee-Assistance-Program" TargetMode="External"/><Relationship Id="rId37" Type="http://schemas.openxmlformats.org/officeDocument/2006/relationships/hyperlink" Target="https://benefitsconnect.pensions.org/_layouts/15/BenefitsConnect/Login.aspx?ReturnUrl=%2f_layouts%2f15%2fAuthenticate.aspx%3fSource%3d%252F&amp;Source=%2F" TargetMode="External"/><Relationship Id="rId40" Type="http://schemas.openxmlformats.org/officeDocument/2006/relationships/hyperlink" Target="https://www.pensions.org/your-path-to-wholeness/call-to-health" TargetMode="External"/><Relationship Id="rId45" Type="http://schemas.openxmlformats.org/officeDocument/2006/relationships/hyperlink" Target="http://www.pensions.org/what-we-offer/benefits-guidance/retirement-savings-plan/How-it-works" TargetMode="External"/><Relationship Id="rId53" Type="http://schemas.openxmlformats.org/officeDocument/2006/relationships/hyperlink" Target="http://www.calltohealth.org/"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calltohealth.limeade.com/Home" TargetMode="External"/><Relationship Id="rId14" Type="http://schemas.openxmlformats.org/officeDocument/2006/relationships/hyperlink" Target="https://communications.fidelity.com/wi/powerofsmallamounts/" TargetMode="External"/><Relationship Id="rId22" Type="http://schemas.openxmlformats.org/officeDocument/2006/relationships/hyperlink" Target="http://www.pensions.org/news-and-events/articles/Teladoc-app-offers-convenient-access-to-quality-medical-care-when-traveling" TargetMode="External"/><Relationship Id="rId27" Type="http://schemas.openxmlformats.org/officeDocument/2006/relationships/hyperlink" Target="https://www.fidelity.com/customer-service/how-to-update-account-beneficiaries" TargetMode="External"/><Relationship Id="rId30" Type="http://schemas.openxmlformats.org/officeDocument/2006/relationships/hyperlink" Target="https://calltohealth.limeade.com/brandedlogin.aspx?e=BoardOfPensions" TargetMode="External"/><Relationship Id="rId35" Type="http://schemas.openxmlformats.org/officeDocument/2006/relationships/hyperlink" Target="https://www.pensions.org/your-path-to-wholeness/call-to-health/answering-the-call" TargetMode="External"/><Relationship Id="rId43" Type="http://schemas.openxmlformats.org/officeDocument/2006/relationships/hyperlink" Target="http://www.pensions.org/file/what-we-offer/benefits-guidance/forms/Documents/ors-001.pdf/" TargetMode="External"/><Relationship Id="rId48" Type="http://schemas.openxmlformats.org/officeDocument/2006/relationships/hyperlink" Target="https://www.pensions.org/what-we-offer/benefits-guidance/prescription-drug-benefits/Using-your-benefits" TargetMode="External"/><Relationship Id="rId56" Type="http://schemas.openxmlformats.org/officeDocument/2006/relationships/header" Target="header2.xml"/><Relationship Id="rId8" Type="http://schemas.openxmlformats.org/officeDocument/2006/relationships/hyperlink" Target="https://www.pensions.org/what-we-offer/benefits-guidance/medical-benefits" TargetMode="External"/><Relationship Id="rId51" Type="http://schemas.openxmlformats.org/officeDocument/2006/relationships/hyperlink" Target="http://www.calltohealth.org/" TargetMode="External"/><Relationship Id="rId3" Type="http://schemas.openxmlformats.org/officeDocument/2006/relationships/styles" Target="styles.xml"/><Relationship Id="rId12" Type="http://schemas.openxmlformats.org/officeDocument/2006/relationships/hyperlink" Target="http://www.pensions.org/file/what-we-offer/benefits-guidance/forms-documents/Documents/med-119.pdf/" TargetMode="External"/><Relationship Id="rId17" Type="http://schemas.openxmlformats.org/officeDocument/2006/relationships/hyperlink" Target="https://www.pensions.org/news-and-events/articles/Eat-your-way-to-better-health" TargetMode="External"/><Relationship Id="rId25" Type="http://schemas.openxmlformats.org/officeDocument/2006/relationships/hyperlink" Target="http://www.fidelity.com/atwork" TargetMode="External"/><Relationship Id="rId33" Type="http://schemas.openxmlformats.org/officeDocument/2006/relationships/hyperlink" Target="http://www.pensions.org/what-we-offer/benefits-guidance/medical-benefits/Vision-exam-benefit" TargetMode="External"/><Relationship Id="rId38" Type="http://schemas.openxmlformats.org/officeDocument/2006/relationships/hyperlink" Target="https://benefitsconnect.pensions.org/_layouts/15/BenefitsConnect/Login.aspx?ReturnUrl=%2f_layouts%2f15%2fAuthenticate.aspx%3fSource%3d%252F&amp;Source=%2F" TargetMode="External"/><Relationship Id="rId46" Type="http://schemas.openxmlformats.org/officeDocument/2006/relationships/hyperlink" Target="http://www.pensions.org/news-and-events/articles/Target-date-funds-take-the-guesswork-out-of-saving-for-retirement" TargetMode="External"/><Relationship Id="rId59" Type="http://schemas.openxmlformats.org/officeDocument/2006/relationships/header" Target="header3.xml"/><Relationship Id="rId20" Type="http://schemas.openxmlformats.org/officeDocument/2006/relationships/hyperlink" Target="https://www.pensions.org/your-path-to-wholeness/call-to-health" TargetMode="External"/><Relationship Id="rId41" Type="http://schemas.openxmlformats.org/officeDocument/2006/relationships/hyperlink" Target="https://calltohealth.limeade.com/Home" TargetMode="External"/><Relationship Id="rId54" Type="http://schemas.openxmlformats.org/officeDocument/2006/relationships/hyperlink" Target="http://www.pensions.org/calltohealt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fidelity.com/prgw/digital/financial-checkup/survey/1" TargetMode="External"/><Relationship Id="rId23" Type="http://schemas.openxmlformats.org/officeDocument/2006/relationships/hyperlink" Target="http://www.pensions.org/news-and-events/articles/How-to-fast-track-your-emergency-fund" TargetMode="External"/><Relationship Id="rId28" Type="http://schemas.openxmlformats.org/officeDocument/2006/relationships/hyperlink" Target="https://www.aetna.com/individuals-families/dental-health/oral-health-overall-health.html" TargetMode="External"/><Relationship Id="rId36" Type="http://schemas.openxmlformats.org/officeDocument/2006/relationships/hyperlink" Target="https://www.pensions.org/what-we-offer/benefits-guidance/vision-eyewear-coverage/how-it-works" TargetMode="External"/><Relationship Id="rId49" Type="http://schemas.openxmlformats.org/officeDocument/2006/relationships/hyperlink" Target="https://www.pensions.org/what-we-offer/benefits-guidance/prescription-drug-benefits/How-it-works" TargetMode="External"/><Relationship Id="rId57" Type="http://schemas.openxmlformats.org/officeDocument/2006/relationships/footer" Target="footer1.xml"/><Relationship Id="rId10" Type="http://schemas.openxmlformats.org/officeDocument/2006/relationships/hyperlink" Target="http://www.pensions.org/what-we-offer/benefits-guidance/medical-benefits/HDHP" TargetMode="External"/><Relationship Id="rId31" Type="http://schemas.openxmlformats.org/officeDocument/2006/relationships/hyperlink" Target="https://www.pensions.org/your-path-to-wholeness/call-to-health/answering-the-call" TargetMode="External"/><Relationship Id="rId44" Type="http://schemas.openxmlformats.org/officeDocument/2006/relationships/hyperlink" Target="http://www.pensions.org/file/what-we-offer/benefits-guidance/forms/Documents/RSP%20PC(USA)%20Enrollment%20Form.pdf/" TargetMode="External"/><Relationship Id="rId52" Type="http://schemas.openxmlformats.org/officeDocument/2006/relationships/hyperlink" Target="http://www.pensions.org/calltohealth"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nsions.org/what-we-offer/benefits-guidance/medical-benefits/PP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DD2D-BACD-4EB4-8170-0459509C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Wellings, Carol</dc:creator>
  <cp:keywords/>
  <dc:description/>
  <cp:lastModifiedBy>Wellings, Carol</cp:lastModifiedBy>
  <cp:revision>6</cp:revision>
  <cp:lastPrinted>2019-01-25T20:27:00Z</cp:lastPrinted>
  <dcterms:created xsi:type="dcterms:W3CDTF">2019-10-31T20:03:00Z</dcterms:created>
  <dcterms:modified xsi:type="dcterms:W3CDTF">2020-01-17T14:43:00Z</dcterms:modified>
</cp:coreProperties>
</file>